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1D" w:rsidRPr="008216E4" w:rsidRDefault="00892850" w:rsidP="00F621A1">
      <w:pPr>
        <w:jc w:val="right"/>
        <w:rPr>
          <w:sz w:val="20"/>
        </w:rPr>
      </w:pPr>
      <w:bookmarkStart w:id="0" w:name="_GoBack"/>
      <w:bookmarkEnd w:id="0"/>
      <w:r>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2.65pt;width:153pt;height:39.35pt;z-index:251660288;v-text-anchor:middle" fillcolor="#bbe0e3">
            <v:fill o:detectmouseclick="t"/>
            <v:stroke o:forcedash="t"/>
            <v:imagedata r:id="rId9" o:title=""/>
          </v:shape>
          <o:OLEObject Type="Embed" ProgID="Unknown" ShapeID="_x0000_s1026" DrawAspect="Content" ObjectID="_1526734450" r:id="rId10"/>
        </w:pict>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b/>
          <w:sz w:val="21"/>
          <w:szCs w:val="21"/>
        </w:rPr>
        <w:tab/>
      </w:r>
      <w:r w:rsidR="009D181D" w:rsidRPr="008216E4">
        <w:rPr>
          <w:sz w:val="20"/>
        </w:rPr>
        <w:t>Bilgi için: Sanem Kabakılıç</w:t>
      </w:r>
    </w:p>
    <w:p w:rsidR="009D181D" w:rsidRPr="008216E4" w:rsidRDefault="00892850" w:rsidP="009D181D">
      <w:pPr>
        <w:jc w:val="right"/>
        <w:rPr>
          <w:b/>
          <w:sz w:val="21"/>
          <w:szCs w:val="21"/>
        </w:rPr>
      </w:pPr>
      <w:hyperlink r:id="rId11" w:history="1">
        <w:r w:rsidR="009D181D" w:rsidRPr="008216E4">
          <w:rPr>
            <w:rStyle w:val="Kpr"/>
            <w:sz w:val="20"/>
          </w:rPr>
          <w:t>sanem@turkrating.com</w:t>
        </w:r>
      </w:hyperlink>
    </w:p>
    <w:p w:rsidR="006D0AF0" w:rsidRPr="008216E4" w:rsidRDefault="006D0AF0" w:rsidP="009D181D">
      <w:pPr>
        <w:jc w:val="center"/>
        <w:rPr>
          <w:b/>
          <w:sz w:val="21"/>
          <w:szCs w:val="21"/>
        </w:rPr>
      </w:pPr>
    </w:p>
    <w:p w:rsidR="006D0AF0" w:rsidRDefault="00F621A1" w:rsidP="006D0AF0">
      <w:pPr>
        <w:spacing w:after="120" w:line="260" w:lineRule="atLeast"/>
        <w:jc w:val="center"/>
        <w:rPr>
          <w:b/>
          <w:sz w:val="22"/>
          <w:szCs w:val="22"/>
        </w:rPr>
      </w:pPr>
      <w:r>
        <w:rPr>
          <w:b/>
          <w:sz w:val="22"/>
          <w:szCs w:val="22"/>
        </w:rPr>
        <w:t>HALK FİNANSAL KİRALAMA</w:t>
      </w:r>
      <w:r w:rsidR="006D0AF0" w:rsidRPr="00673916">
        <w:rPr>
          <w:b/>
          <w:sz w:val="22"/>
          <w:szCs w:val="22"/>
        </w:rPr>
        <w:t xml:space="preserve"> A.Ş. </w:t>
      </w:r>
    </w:p>
    <w:p w:rsidR="006D0AF0" w:rsidRPr="00293EE4" w:rsidRDefault="006D0AF0" w:rsidP="006D0AF0">
      <w:pPr>
        <w:pBdr>
          <w:top w:val="single" w:sz="4" w:space="1" w:color="auto"/>
          <w:left w:val="single" w:sz="4" w:space="4" w:color="auto"/>
          <w:bottom w:val="single" w:sz="4" w:space="1" w:color="auto"/>
          <w:right w:val="single" w:sz="4" w:space="4" w:color="auto"/>
        </w:pBdr>
        <w:spacing w:line="260" w:lineRule="atLeast"/>
        <w:jc w:val="center"/>
        <w:rPr>
          <w:b/>
          <w:sz w:val="21"/>
          <w:szCs w:val="21"/>
        </w:rPr>
      </w:pPr>
      <w:r w:rsidRPr="00764752">
        <w:rPr>
          <w:sz w:val="21"/>
          <w:szCs w:val="21"/>
        </w:rPr>
        <w:t>Uzun Vadeli</w:t>
      </w:r>
      <w:r w:rsidR="00F621A1">
        <w:rPr>
          <w:sz w:val="21"/>
          <w:szCs w:val="21"/>
        </w:rPr>
        <w:t xml:space="preserve"> Ulusal </w:t>
      </w:r>
      <w:r w:rsidRPr="00764752">
        <w:rPr>
          <w:sz w:val="21"/>
          <w:szCs w:val="21"/>
        </w:rPr>
        <w:t>Kredi Derecelendirme Notu:</w:t>
      </w:r>
      <w:r w:rsidR="00F621A1">
        <w:rPr>
          <w:sz w:val="21"/>
          <w:szCs w:val="21"/>
        </w:rPr>
        <w:t xml:space="preserve"> </w:t>
      </w:r>
      <w:r w:rsidR="00F621A1">
        <w:rPr>
          <w:b/>
          <w:sz w:val="21"/>
          <w:szCs w:val="21"/>
        </w:rPr>
        <w:t>TR AA-</w:t>
      </w:r>
    </w:p>
    <w:p w:rsidR="006D0AF0" w:rsidRPr="00293EE4" w:rsidRDefault="006D0AF0" w:rsidP="006D0AF0">
      <w:pPr>
        <w:pBdr>
          <w:top w:val="single" w:sz="4" w:space="1" w:color="auto"/>
          <w:left w:val="single" w:sz="4" w:space="4" w:color="auto"/>
          <w:bottom w:val="single" w:sz="4" w:space="1" w:color="auto"/>
          <w:right w:val="single" w:sz="4" w:space="4" w:color="auto"/>
        </w:pBdr>
        <w:spacing w:line="260" w:lineRule="atLeast"/>
        <w:jc w:val="center"/>
        <w:rPr>
          <w:b/>
          <w:sz w:val="21"/>
          <w:szCs w:val="21"/>
        </w:rPr>
      </w:pPr>
      <w:r w:rsidRPr="00764752">
        <w:rPr>
          <w:sz w:val="21"/>
          <w:szCs w:val="21"/>
        </w:rPr>
        <w:t xml:space="preserve">Kısa Vadeli </w:t>
      </w:r>
      <w:r w:rsidR="00F621A1">
        <w:rPr>
          <w:sz w:val="21"/>
          <w:szCs w:val="21"/>
        </w:rPr>
        <w:t xml:space="preserve">Ulusal </w:t>
      </w:r>
      <w:r w:rsidRPr="00764752">
        <w:rPr>
          <w:sz w:val="21"/>
          <w:szCs w:val="21"/>
        </w:rPr>
        <w:t>Kredi Derecelendirme Notu:</w:t>
      </w:r>
      <w:r w:rsidR="00F621A1">
        <w:rPr>
          <w:sz w:val="21"/>
          <w:szCs w:val="21"/>
        </w:rPr>
        <w:t xml:space="preserve"> </w:t>
      </w:r>
      <w:r w:rsidR="00F621A1">
        <w:rPr>
          <w:b/>
          <w:sz w:val="21"/>
          <w:szCs w:val="21"/>
        </w:rPr>
        <w:t>TR A1</w:t>
      </w:r>
    </w:p>
    <w:p w:rsidR="006D0AF0" w:rsidRPr="00293EE4" w:rsidRDefault="00F621A1" w:rsidP="006D0AF0">
      <w:pPr>
        <w:pBdr>
          <w:top w:val="single" w:sz="4" w:space="1" w:color="auto"/>
          <w:left w:val="single" w:sz="4" w:space="4" w:color="auto"/>
          <w:bottom w:val="single" w:sz="4" w:space="1" w:color="auto"/>
          <w:right w:val="single" w:sz="4" w:space="4" w:color="auto"/>
        </w:pBdr>
        <w:spacing w:line="260" w:lineRule="atLeast"/>
        <w:jc w:val="center"/>
        <w:rPr>
          <w:b/>
          <w:sz w:val="21"/>
          <w:szCs w:val="21"/>
        </w:rPr>
      </w:pPr>
      <w:r>
        <w:rPr>
          <w:sz w:val="21"/>
          <w:szCs w:val="21"/>
        </w:rPr>
        <w:t xml:space="preserve">Görünüm: </w:t>
      </w:r>
      <w:r w:rsidRPr="00F621A1">
        <w:rPr>
          <w:b/>
          <w:sz w:val="21"/>
          <w:szCs w:val="21"/>
        </w:rPr>
        <w:t>Durağan</w:t>
      </w:r>
    </w:p>
    <w:p w:rsidR="00F621A1" w:rsidRDefault="00F621A1" w:rsidP="00F621A1">
      <w:pPr>
        <w:spacing w:line="280" w:lineRule="atLeast"/>
        <w:jc w:val="both"/>
        <w:rPr>
          <w:b/>
          <w:sz w:val="21"/>
          <w:szCs w:val="21"/>
        </w:rPr>
      </w:pPr>
    </w:p>
    <w:p w:rsidR="00F621A1" w:rsidRPr="00F621A1" w:rsidRDefault="006D0AF0" w:rsidP="00F621A1">
      <w:pPr>
        <w:spacing w:line="280" w:lineRule="atLeast"/>
        <w:jc w:val="both"/>
        <w:rPr>
          <w:sz w:val="21"/>
          <w:szCs w:val="21"/>
        </w:rPr>
      </w:pPr>
      <w:r w:rsidRPr="00F621A1">
        <w:rPr>
          <w:b/>
          <w:sz w:val="21"/>
          <w:szCs w:val="21"/>
        </w:rPr>
        <w:t xml:space="preserve">İstanbul, </w:t>
      </w:r>
      <w:r w:rsidR="00F621A1">
        <w:rPr>
          <w:b/>
          <w:sz w:val="21"/>
          <w:szCs w:val="21"/>
        </w:rPr>
        <w:t xml:space="preserve">06 Haziran </w:t>
      </w:r>
      <w:proofErr w:type="gramStart"/>
      <w:r w:rsidR="00F621A1">
        <w:rPr>
          <w:b/>
          <w:sz w:val="21"/>
          <w:szCs w:val="21"/>
        </w:rPr>
        <w:t>2016</w:t>
      </w:r>
      <w:r w:rsidR="00F621A1" w:rsidRPr="00F621A1">
        <w:rPr>
          <w:b/>
          <w:sz w:val="21"/>
          <w:szCs w:val="21"/>
        </w:rPr>
        <w:t xml:space="preserve"> : </w:t>
      </w:r>
      <w:r w:rsidR="00F621A1" w:rsidRPr="00F621A1">
        <w:rPr>
          <w:sz w:val="21"/>
          <w:szCs w:val="21"/>
        </w:rPr>
        <w:t>Halk</w:t>
      </w:r>
      <w:proofErr w:type="gramEnd"/>
      <w:r w:rsidR="00F621A1" w:rsidRPr="00F621A1">
        <w:rPr>
          <w:sz w:val="21"/>
          <w:szCs w:val="21"/>
        </w:rPr>
        <w:t xml:space="preserve"> Finansal Kiralama A.Ş.’</w:t>
      </w:r>
      <w:proofErr w:type="spellStart"/>
      <w:r w:rsidR="00F621A1" w:rsidRPr="00F621A1">
        <w:rPr>
          <w:sz w:val="21"/>
          <w:szCs w:val="21"/>
        </w:rPr>
        <w:t>nin</w:t>
      </w:r>
      <w:proofErr w:type="spellEnd"/>
      <w:r w:rsidR="00F621A1" w:rsidRPr="00F621A1">
        <w:rPr>
          <w:sz w:val="21"/>
          <w:szCs w:val="21"/>
        </w:rPr>
        <w:t xml:space="preserve"> (Kısaca Halk Leasing veya Şirket) Uzun Vadeli Ulusal Kredi Derecelendirme Not AA-,  Kısa Vadeli Ulusal Kredi Derecelendirme Notu TR A1 ve görünümü durağan olarak belirlenmiştir.  Halk Leasing’in iştiraki olan Halkbank'ın bir kamu bankası olması ve şirketin sektördeki güçlü konumu bu notları desteklemektedir. Diğer taraftan şirketin düşük karlılığı ve yüksek TGA düzeyi bu notları baskılamıştır.</w:t>
      </w:r>
    </w:p>
    <w:p w:rsidR="00F621A1" w:rsidRPr="00F621A1" w:rsidRDefault="00F621A1" w:rsidP="00F621A1">
      <w:pPr>
        <w:pStyle w:val="NormalWeb"/>
        <w:spacing w:before="200" w:beforeAutospacing="0" w:after="0" w:afterAutospacing="0" w:line="280" w:lineRule="atLeast"/>
        <w:jc w:val="both"/>
        <w:rPr>
          <w:sz w:val="21"/>
          <w:szCs w:val="21"/>
        </w:rPr>
      </w:pPr>
      <w:r w:rsidRPr="00F621A1">
        <w:rPr>
          <w:b/>
          <w:sz w:val="21"/>
          <w:szCs w:val="21"/>
        </w:rPr>
        <w:t xml:space="preserve">Kamu Sermayeli Bir Şirket: </w:t>
      </w:r>
      <w:r w:rsidRPr="00F621A1">
        <w:rPr>
          <w:sz w:val="21"/>
          <w:szCs w:val="21"/>
        </w:rPr>
        <w:t xml:space="preserve">Halk Leasing2015 yılsonu itibariyle 191 milyar TL </w:t>
      </w:r>
      <w:proofErr w:type="gramStart"/>
      <w:r w:rsidRPr="00F621A1">
        <w:rPr>
          <w:sz w:val="21"/>
          <w:szCs w:val="21"/>
        </w:rPr>
        <w:t>konsolide</w:t>
      </w:r>
      <w:proofErr w:type="gramEnd"/>
      <w:r w:rsidRPr="00F621A1">
        <w:rPr>
          <w:sz w:val="21"/>
          <w:szCs w:val="21"/>
        </w:rPr>
        <w:t xml:space="preserve"> aktif büyüklüğü ile Türkiye’nin ikinci büyük kamu bankası olan Halkbank’ın %100 iştirakidir. Kamu sermayeli bir şirket olması sebebiyle sektör ve büyüklük gözetmeksizin her yatırıma kaynak sağlama amacı güden Şirket’in müşteri tabanının %85’ini mikro KOBİ’ler, %15’ini ise ticari ve kurumsal müşteriler oluşturmaktadır. Ancak finansal kiralama alacaklarının %77’si ticari ve kurumsal şirketlerden oluşmaktadır.</w:t>
      </w:r>
    </w:p>
    <w:p w:rsidR="00F621A1" w:rsidRPr="00F621A1" w:rsidRDefault="00F621A1" w:rsidP="00F621A1">
      <w:pPr>
        <w:pStyle w:val="NormalWeb"/>
        <w:spacing w:before="200" w:beforeAutospacing="0" w:after="0" w:afterAutospacing="0" w:line="280" w:lineRule="atLeast"/>
        <w:jc w:val="both"/>
        <w:rPr>
          <w:sz w:val="21"/>
          <w:szCs w:val="21"/>
        </w:rPr>
      </w:pPr>
      <w:r w:rsidRPr="00F621A1">
        <w:rPr>
          <w:b/>
          <w:sz w:val="21"/>
          <w:szCs w:val="21"/>
        </w:rPr>
        <w:t xml:space="preserve">Makul Büyüme: </w:t>
      </w:r>
      <w:r w:rsidRPr="00F621A1">
        <w:rPr>
          <w:sz w:val="21"/>
          <w:szCs w:val="21"/>
        </w:rPr>
        <w:t>Yıllık ortalama büyüme oranı %18 olan finansal kiralama sektörünün üzerinde bir büyümeye sahip olan Şirket</w:t>
      </w:r>
      <w:r w:rsidRPr="00F621A1">
        <w:rPr>
          <w:b/>
          <w:sz w:val="21"/>
          <w:szCs w:val="21"/>
        </w:rPr>
        <w:t xml:space="preserve">, </w:t>
      </w:r>
      <w:r w:rsidRPr="00F621A1">
        <w:rPr>
          <w:sz w:val="21"/>
          <w:szCs w:val="21"/>
        </w:rPr>
        <w:t>ekonominin inişli çıkışlı bir yapıda seyrettiği 2015 yılında %16,5 oranında büyüyerek 2,39 milyar TL’lik aktif büyüklüğüne ulaşmıştır. Ancak TL bazındaki bu büyüme, alacaklarının ve borçlarının önemli bölümünün döviz cinsinden olması ve dövizdeki kur artışları dikkate alındığında döviz bazında bir artışa tekabül etmemektedir.</w:t>
      </w:r>
    </w:p>
    <w:p w:rsidR="00F621A1" w:rsidRPr="00F621A1" w:rsidRDefault="00F621A1" w:rsidP="00F621A1">
      <w:pPr>
        <w:pStyle w:val="NormalWeb"/>
        <w:spacing w:before="200" w:beforeAutospacing="0" w:after="0" w:afterAutospacing="0" w:line="280" w:lineRule="atLeast"/>
        <w:jc w:val="both"/>
        <w:rPr>
          <w:sz w:val="21"/>
          <w:szCs w:val="21"/>
        </w:rPr>
      </w:pPr>
      <w:r w:rsidRPr="00F621A1">
        <w:rPr>
          <w:rStyle w:val="yazilar1"/>
          <w:rFonts w:ascii="Times New Roman" w:hAnsi="Times New Roman" w:cs="Times New Roman"/>
          <w:b/>
          <w:color w:val="auto"/>
          <w:sz w:val="21"/>
          <w:szCs w:val="21"/>
        </w:rPr>
        <w:t xml:space="preserve">Güçlü Piyasa Konumu: </w:t>
      </w:r>
      <w:r w:rsidRPr="00F621A1">
        <w:rPr>
          <w:sz w:val="21"/>
          <w:szCs w:val="21"/>
        </w:rPr>
        <w:t xml:space="preserve">Halk Leasing, aktif büyüklüğü sıralamasına göre %5,9 pazar payı ile sektörün 7’nci, finansal kiralama alacakları sıralamasına göre %6,2 pazar payı ile sektörün 8. büyük şirketi konumundadır. Halk Leasing belirlediği iş stratejisi ve ihtisaslaştığı KOBİ </w:t>
      </w:r>
      <w:proofErr w:type="spellStart"/>
      <w:r w:rsidRPr="00F621A1">
        <w:rPr>
          <w:sz w:val="21"/>
          <w:szCs w:val="21"/>
        </w:rPr>
        <w:t>segmenti</w:t>
      </w:r>
      <w:proofErr w:type="spellEnd"/>
      <w:r w:rsidRPr="00F621A1">
        <w:rPr>
          <w:sz w:val="21"/>
          <w:szCs w:val="21"/>
        </w:rPr>
        <w:t xml:space="preserve"> tecrübesi ile sanayi bölgelerindeki tahsil kabiliyeti ve </w:t>
      </w:r>
      <w:proofErr w:type="gramStart"/>
      <w:r w:rsidRPr="00F621A1">
        <w:rPr>
          <w:sz w:val="21"/>
          <w:szCs w:val="21"/>
        </w:rPr>
        <w:t>kredibilitesi</w:t>
      </w:r>
      <w:proofErr w:type="gramEnd"/>
      <w:r w:rsidRPr="00F621A1">
        <w:rPr>
          <w:sz w:val="21"/>
          <w:szCs w:val="21"/>
        </w:rPr>
        <w:t xml:space="preserve"> yüksek KOBİ’lere ulaşmayı hedefleyerek finansal kiralama sektöründe ilk 5 şirket arasında olmayı planlamaktadır.</w:t>
      </w:r>
    </w:p>
    <w:p w:rsidR="00F621A1" w:rsidRPr="00F621A1" w:rsidRDefault="00F621A1" w:rsidP="00F621A1">
      <w:pPr>
        <w:pStyle w:val="NormalWeb"/>
        <w:spacing w:before="200" w:beforeAutospacing="0" w:after="0" w:afterAutospacing="0" w:line="280" w:lineRule="atLeast"/>
        <w:jc w:val="both"/>
        <w:rPr>
          <w:rStyle w:val="yazilar1"/>
          <w:rFonts w:ascii="Times New Roman" w:hAnsi="Times New Roman" w:cs="Times New Roman"/>
          <w:color w:val="auto"/>
          <w:sz w:val="21"/>
          <w:szCs w:val="21"/>
        </w:rPr>
      </w:pPr>
      <w:r w:rsidRPr="00F621A1">
        <w:rPr>
          <w:rStyle w:val="yazilar1"/>
          <w:rFonts w:ascii="Times New Roman" w:hAnsi="Times New Roman" w:cs="Times New Roman"/>
          <w:b/>
          <w:color w:val="auto"/>
          <w:sz w:val="21"/>
          <w:szCs w:val="21"/>
        </w:rPr>
        <w:t>Artan Tahsili Gecikmiş Alacaklar (TGA):</w:t>
      </w:r>
      <w:r w:rsidRPr="00F621A1">
        <w:rPr>
          <w:rStyle w:val="yazilar1"/>
          <w:rFonts w:ascii="Times New Roman" w:hAnsi="Times New Roman" w:cs="Times New Roman"/>
          <w:color w:val="auto"/>
          <w:sz w:val="21"/>
          <w:szCs w:val="21"/>
        </w:rPr>
        <w:t xml:space="preserve">Şirketin Tahsili Gecikmiş Alacak (TGA) oranı son 5 dönemdir sektöründe tersine artış </w:t>
      </w:r>
      <w:proofErr w:type="gramStart"/>
      <w:r w:rsidRPr="00F621A1">
        <w:rPr>
          <w:rStyle w:val="yazilar1"/>
          <w:rFonts w:ascii="Times New Roman" w:hAnsi="Times New Roman" w:cs="Times New Roman"/>
          <w:color w:val="auto"/>
          <w:sz w:val="21"/>
          <w:szCs w:val="21"/>
        </w:rPr>
        <w:t>trendindedir</w:t>
      </w:r>
      <w:proofErr w:type="gramEnd"/>
      <w:r w:rsidRPr="00F621A1">
        <w:rPr>
          <w:rStyle w:val="yazilar1"/>
          <w:rFonts w:ascii="Times New Roman" w:hAnsi="Times New Roman" w:cs="Times New Roman"/>
          <w:color w:val="auto"/>
          <w:sz w:val="21"/>
          <w:szCs w:val="21"/>
        </w:rPr>
        <w:t xml:space="preserve">. 2013 sonrası sektör ortalamasının üzerine çıkan TGA oranı, 2015 yılında TGA’ların%61 artması sonucu %14,8’eyükselmiştir. Özellikle son iki dönemdir Şirketin tahsili gecikmiş alacaklarının yükselmesinin nedeni üç ayrı grubun şirketleriyle ile yapılan büyük hacimli kiralama işlemlerinden kaynaklanmaktadır. Şirket bu gecikmiş alacakların en büyüğü olan grup ile bir protokol imzalamış ve nakit akışı sağlanmaya başlanmıştır. </w:t>
      </w:r>
    </w:p>
    <w:p w:rsidR="00F621A1" w:rsidRPr="00F621A1" w:rsidRDefault="00F621A1" w:rsidP="00F621A1">
      <w:pPr>
        <w:pStyle w:val="NormalWeb"/>
        <w:spacing w:before="200" w:beforeAutospacing="0" w:after="0" w:afterAutospacing="0" w:line="280" w:lineRule="atLeast"/>
        <w:jc w:val="both"/>
        <w:rPr>
          <w:sz w:val="21"/>
          <w:szCs w:val="21"/>
        </w:rPr>
      </w:pPr>
      <w:r w:rsidRPr="00F621A1">
        <w:rPr>
          <w:b/>
          <w:sz w:val="21"/>
          <w:szCs w:val="21"/>
        </w:rPr>
        <w:t xml:space="preserve">Güçlü Ortaklık Yapısı: </w:t>
      </w:r>
      <w:r w:rsidRPr="00F621A1">
        <w:rPr>
          <w:sz w:val="21"/>
          <w:szCs w:val="21"/>
        </w:rPr>
        <w:t xml:space="preserve">Ana ortak Halkbank’ın </w:t>
      </w:r>
      <w:proofErr w:type="gramStart"/>
      <w:r w:rsidRPr="00F621A1">
        <w:rPr>
          <w:sz w:val="21"/>
          <w:szCs w:val="21"/>
        </w:rPr>
        <w:t>konsolide</w:t>
      </w:r>
      <w:proofErr w:type="gramEnd"/>
      <w:r w:rsidRPr="00F621A1">
        <w:rPr>
          <w:sz w:val="21"/>
          <w:szCs w:val="21"/>
        </w:rPr>
        <w:t xml:space="preserve"> olarak 2015 itibariyle 19,1 milyar TL öz kaynağı, 2,3 milyar TL net karı ve yurtiçinde 951 adet şubesi bulunmaktadır.  Halkbank’ın geniş şube ağı sayesinde müşterilere ulaşma </w:t>
      </w:r>
      <w:proofErr w:type="gramStart"/>
      <w:r w:rsidRPr="00F621A1">
        <w:rPr>
          <w:sz w:val="21"/>
          <w:szCs w:val="21"/>
        </w:rPr>
        <w:t>imkanına</w:t>
      </w:r>
      <w:proofErr w:type="gramEnd"/>
      <w:r w:rsidRPr="00F621A1">
        <w:rPr>
          <w:sz w:val="21"/>
          <w:szCs w:val="21"/>
        </w:rPr>
        <w:t xml:space="preserve"> sahip olması, Halk Leasing’e rekabet avantajı sağlamaktadır. Halk Leasing’in iş hacminin %85’i Halkbank tarafından yönlendirilen işlemlerden oluşmaktadır. Ancak, kamu iştiraki olmasının sermaye desteğindeki önemli pozitif etkisi </w:t>
      </w:r>
      <w:proofErr w:type="gramStart"/>
      <w:r w:rsidRPr="00F621A1">
        <w:rPr>
          <w:sz w:val="21"/>
          <w:szCs w:val="21"/>
        </w:rPr>
        <w:t>ile,</w:t>
      </w:r>
      <w:proofErr w:type="gramEnd"/>
      <w:r w:rsidRPr="00F621A1">
        <w:rPr>
          <w:sz w:val="21"/>
          <w:szCs w:val="21"/>
        </w:rPr>
        <w:t xml:space="preserve"> Halk Bankasının şubelerinden ve organik desteğinden yararlanmasının getirdiği avantajların yanında; müşterilerinin % 85’lik kısmının hissedar Banka ile ayni müşteriler olması, Şirketin bağımsız strateji belirleme yeteneğini de negatif etkileyebilecek bir olgudur.</w:t>
      </w:r>
    </w:p>
    <w:p w:rsidR="00F621A1" w:rsidRPr="00F621A1" w:rsidRDefault="00F621A1" w:rsidP="00F621A1">
      <w:pPr>
        <w:pStyle w:val="NormalWeb"/>
        <w:spacing w:before="120" w:beforeAutospacing="0" w:after="0" w:afterAutospacing="0" w:line="280" w:lineRule="atLeast"/>
        <w:jc w:val="both"/>
        <w:rPr>
          <w:sz w:val="21"/>
          <w:szCs w:val="21"/>
        </w:rPr>
      </w:pPr>
      <w:r w:rsidRPr="00F621A1">
        <w:rPr>
          <w:b/>
          <w:sz w:val="21"/>
          <w:szCs w:val="21"/>
        </w:rPr>
        <w:lastRenderedPageBreak/>
        <w:t xml:space="preserve">Ortalama Sermaye Yapısı: </w:t>
      </w:r>
      <w:r w:rsidRPr="00F621A1">
        <w:rPr>
          <w:sz w:val="21"/>
          <w:szCs w:val="21"/>
        </w:rPr>
        <w:t xml:space="preserve">Halk leasing 272,2 milyon TL’lik ödenmiş sermayesi ve toplam 305,1 milyon TL </w:t>
      </w:r>
      <w:proofErr w:type="spellStart"/>
      <w:r w:rsidRPr="00F621A1">
        <w:rPr>
          <w:sz w:val="21"/>
          <w:szCs w:val="21"/>
        </w:rPr>
        <w:t>özkaynağa</w:t>
      </w:r>
      <w:proofErr w:type="spellEnd"/>
      <w:r w:rsidRPr="00F621A1">
        <w:rPr>
          <w:sz w:val="21"/>
          <w:szCs w:val="21"/>
        </w:rPr>
        <w:t xml:space="preserve"> sahiptir.  Şirket’in öz kaynak oranı  %17 olan sektör ortalamasının altında ve %10,7 olan </w:t>
      </w:r>
      <w:proofErr w:type="spellStart"/>
      <w:r w:rsidRPr="00F621A1">
        <w:rPr>
          <w:sz w:val="21"/>
          <w:szCs w:val="21"/>
        </w:rPr>
        <w:t>peer</w:t>
      </w:r>
      <w:proofErr w:type="spellEnd"/>
      <w:r w:rsidRPr="00F621A1">
        <w:rPr>
          <w:sz w:val="21"/>
          <w:szCs w:val="21"/>
        </w:rPr>
        <w:t xml:space="preserve"> grubun üzerinde %12,8 olarak gerçekleşmiştir. Şirketin brüt finansal kiralama alacaklarının </w:t>
      </w:r>
      <w:proofErr w:type="spellStart"/>
      <w:r w:rsidRPr="00F621A1">
        <w:rPr>
          <w:sz w:val="21"/>
          <w:szCs w:val="21"/>
        </w:rPr>
        <w:t>özkaynaklarından</w:t>
      </w:r>
      <w:proofErr w:type="spellEnd"/>
      <w:r w:rsidRPr="00F621A1">
        <w:rPr>
          <w:sz w:val="21"/>
          <w:szCs w:val="21"/>
        </w:rPr>
        <w:t xml:space="preserve"> daha hızlı artması sonucu son 3 dönemdir kaldıraç oranı (brüt leasing alacaklar/</w:t>
      </w:r>
      <w:proofErr w:type="spellStart"/>
      <w:r w:rsidRPr="00F621A1">
        <w:rPr>
          <w:sz w:val="21"/>
          <w:szCs w:val="21"/>
        </w:rPr>
        <w:t>özkaynak</w:t>
      </w:r>
      <w:proofErr w:type="spellEnd"/>
      <w:r w:rsidRPr="00F621A1">
        <w:rPr>
          <w:sz w:val="21"/>
          <w:szCs w:val="21"/>
        </w:rPr>
        <w:t xml:space="preserve">) artmakta olup, 2015 yılında 7,9 kata yükselmiştir. </w:t>
      </w:r>
      <w:proofErr w:type="spellStart"/>
      <w:r w:rsidRPr="00F621A1">
        <w:rPr>
          <w:sz w:val="21"/>
          <w:szCs w:val="21"/>
        </w:rPr>
        <w:t>Özkaynaklarının</w:t>
      </w:r>
      <w:proofErr w:type="spellEnd"/>
      <w:r w:rsidRPr="00F621A1">
        <w:rPr>
          <w:sz w:val="21"/>
          <w:szCs w:val="21"/>
        </w:rPr>
        <w:t xml:space="preserve"> </w:t>
      </w:r>
      <w:proofErr w:type="spellStart"/>
      <w:r w:rsidRPr="00F621A1">
        <w:rPr>
          <w:sz w:val="21"/>
          <w:szCs w:val="21"/>
        </w:rPr>
        <w:t>peer</w:t>
      </w:r>
      <w:proofErr w:type="spellEnd"/>
      <w:r w:rsidRPr="00F621A1">
        <w:rPr>
          <w:sz w:val="21"/>
          <w:szCs w:val="21"/>
        </w:rPr>
        <w:t xml:space="preserve"> grup karşısında oransal olarak yeterli görülmesine karşın, </w:t>
      </w:r>
      <w:proofErr w:type="spellStart"/>
      <w:r w:rsidRPr="00F621A1">
        <w:rPr>
          <w:sz w:val="21"/>
          <w:szCs w:val="21"/>
        </w:rPr>
        <w:t>TGA’ları</w:t>
      </w:r>
      <w:proofErr w:type="spellEnd"/>
      <w:r w:rsidRPr="00F621A1">
        <w:rPr>
          <w:sz w:val="21"/>
          <w:szCs w:val="21"/>
        </w:rPr>
        <w:t xml:space="preserve"> yüksek seyir izlemesi nedeni ile Şirket’in daha güçlü </w:t>
      </w:r>
      <w:proofErr w:type="spellStart"/>
      <w:r w:rsidRPr="00F621A1">
        <w:rPr>
          <w:sz w:val="21"/>
          <w:szCs w:val="21"/>
        </w:rPr>
        <w:t>özkaynak</w:t>
      </w:r>
      <w:proofErr w:type="spellEnd"/>
      <w:r w:rsidRPr="00F621A1">
        <w:rPr>
          <w:sz w:val="21"/>
          <w:szCs w:val="21"/>
        </w:rPr>
        <w:t xml:space="preserve"> bulundurması gerekli görülmektedir.</w:t>
      </w:r>
    </w:p>
    <w:p w:rsidR="00F621A1" w:rsidRPr="00F621A1" w:rsidRDefault="00F621A1" w:rsidP="00F621A1">
      <w:pPr>
        <w:pStyle w:val="NormalWeb"/>
        <w:spacing w:before="200" w:beforeAutospacing="0" w:after="0" w:afterAutospacing="0" w:line="280" w:lineRule="atLeast"/>
        <w:jc w:val="both"/>
        <w:rPr>
          <w:rStyle w:val="style11"/>
          <w:rFonts w:ascii="Times New Roman" w:hAnsi="Times New Roman" w:cs="Times New Roman"/>
          <w:color w:val="auto"/>
          <w:sz w:val="21"/>
          <w:szCs w:val="21"/>
        </w:rPr>
      </w:pPr>
      <w:r w:rsidRPr="00F621A1">
        <w:rPr>
          <w:b/>
          <w:sz w:val="21"/>
          <w:szCs w:val="21"/>
        </w:rPr>
        <w:t>Artan Borçlanma:</w:t>
      </w:r>
      <w:r w:rsidRPr="00F621A1">
        <w:rPr>
          <w:sz w:val="21"/>
          <w:szCs w:val="21"/>
        </w:rPr>
        <w:t xml:space="preserve"> Şirket finansal kiralama alacaklarındaki artışı kullandığı krediler ile finanse etmektedir. 2015 yılında Halk Leasing’in net leasing alacakları %12,9 brüt finansal kiralama alacakları %18,2artış gösterirken, kullandığı kredileri de %18,1 artış göstermiştir. Şirketin finansal kaldıraç oranı (finansal borçlar/</w:t>
      </w:r>
      <w:proofErr w:type="spellStart"/>
      <w:r w:rsidRPr="00F621A1">
        <w:rPr>
          <w:sz w:val="21"/>
          <w:szCs w:val="21"/>
        </w:rPr>
        <w:t>özkaynak</w:t>
      </w:r>
      <w:proofErr w:type="spellEnd"/>
      <w:r w:rsidRPr="00F621A1">
        <w:rPr>
          <w:sz w:val="21"/>
          <w:szCs w:val="21"/>
        </w:rPr>
        <w:t xml:space="preserve">)2015 yılında 6,6 kata yükselmiştir. </w:t>
      </w:r>
    </w:p>
    <w:p w:rsidR="00F621A1" w:rsidRDefault="00F621A1" w:rsidP="00F621A1">
      <w:pPr>
        <w:spacing w:before="200" w:line="280" w:lineRule="atLeast"/>
        <w:jc w:val="both"/>
        <w:rPr>
          <w:sz w:val="21"/>
          <w:szCs w:val="21"/>
        </w:rPr>
      </w:pPr>
      <w:r w:rsidRPr="00F621A1">
        <w:rPr>
          <w:b/>
          <w:sz w:val="21"/>
          <w:szCs w:val="21"/>
        </w:rPr>
        <w:t xml:space="preserve">Sektör Ortalamasının Altında Karlılık: </w:t>
      </w:r>
      <w:r w:rsidRPr="00F621A1">
        <w:rPr>
          <w:sz w:val="21"/>
          <w:szCs w:val="21"/>
        </w:rPr>
        <w:t xml:space="preserve">2015 net karı bir önceki yıla göre %23 artarak 6,3 milyon TL seviyesinde gerçekleştiren Şirket, henüz 2013 yılı öncesi karlılık oranlarına ulaşamamıştır. Son 3 dönemdir Şirketin aktif ve </w:t>
      </w:r>
      <w:proofErr w:type="spellStart"/>
      <w:r w:rsidRPr="00F621A1">
        <w:rPr>
          <w:sz w:val="21"/>
          <w:szCs w:val="21"/>
        </w:rPr>
        <w:t>özkaynak</w:t>
      </w:r>
      <w:proofErr w:type="spellEnd"/>
      <w:r w:rsidRPr="00F621A1">
        <w:rPr>
          <w:sz w:val="21"/>
          <w:szCs w:val="21"/>
        </w:rPr>
        <w:t xml:space="preserve"> karlılığı, takipteki alacakları için ayırdığı özel karşılıkların yüksekliği nedeniyle sektör ortalamalarının altında kalmaktadır.2015 yılı ortalama aktif ve </w:t>
      </w:r>
      <w:proofErr w:type="spellStart"/>
      <w:r w:rsidRPr="00F621A1">
        <w:rPr>
          <w:sz w:val="21"/>
          <w:szCs w:val="21"/>
        </w:rPr>
        <w:t>özkaynak</w:t>
      </w:r>
      <w:proofErr w:type="spellEnd"/>
      <w:r w:rsidRPr="00F621A1">
        <w:rPr>
          <w:sz w:val="21"/>
          <w:szCs w:val="21"/>
        </w:rPr>
        <w:t xml:space="preserve"> oranları sırasıyla % 0,3 ve % 2,3 olarak gerçekleşmiştir.</w:t>
      </w:r>
    </w:p>
    <w:p w:rsidR="00F621A1" w:rsidRDefault="00771A83" w:rsidP="00F621A1">
      <w:pPr>
        <w:spacing w:before="200" w:line="280" w:lineRule="atLeast"/>
        <w:jc w:val="both"/>
        <w:rPr>
          <w:sz w:val="21"/>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3413125</wp:posOffset>
                </wp:positionH>
                <wp:positionV relativeFrom="paragraph">
                  <wp:posOffset>97155</wp:posOffset>
                </wp:positionV>
                <wp:extent cx="2608580" cy="1933575"/>
                <wp:effectExtent l="4445"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1A1" w:rsidRPr="00F621A1" w:rsidRDefault="00F621A1" w:rsidP="00F621A1">
                            <w:pPr>
                              <w:spacing w:line="280" w:lineRule="atLeast"/>
                              <w:jc w:val="both"/>
                              <w:rPr>
                                <w:b/>
                                <w:i/>
                                <w:sz w:val="21"/>
                                <w:szCs w:val="21"/>
                                <w:u w:val="single"/>
                              </w:rPr>
                            </w:pPr>
                            <w:r w:rsidRPr="00F621A1">
                              <w:rPr>
                                <w:b/>
                                <w:i/>
                                <w:sz w:val="21"/>
                                <w:szCs w:val="21"/>
                                <w:u w:val="single"/>
                              </w:rPr>
                              <w:t>Zayıf Yönleri Ve Tehditler</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 xml:space="preserve">Yüksek Tahsili Gecikmiş Alacaklar </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Yüksek kaldıraç oranı ile çalışması</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Düşük karlılık</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Ekonominin belirsiz bir yapıda seyretmesi</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Ödeme problemi olan firma/şahıs sayısındaki artış</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Türkiye’de yatırımların azalması</w:t>
                            </w:r>
                            <w:r w:rsidRPr="00F621A1">
                              <w:rPr>
                                <w:rFonts w:eastAsia="Symbol"/>
                                <w:sz w:val="21"/>
                                <w:szCs w:val="21"/>
                              </w:rPr>
                              <w:t>     </w:t>
                            </w:r>
                          </w:p>
                          <w:p w:rsidR="00F621A1" w:rsidRPr="00F621A1" w:rsidRDefault="00F621A1" w:rsidP="00F621A1">
                            <w:pPr>
                              <w:numPr>
                                <w:ilvl w:val="0"/>
                                <w:numId w:val="4"/>
                              </w:numPr>
                              <w:spacing w:line="280" w:lineRule="atLeast"/>
                              <w:ind w:left="284" w:hanging="284"/>
                              <w:jc w:val="both"/>
                              <w:rPr>
                                <w:rStyle w:val="style11"/>
                                <w:color w:val="auto"/>
                                <w:sz w:val="21"/>
                                <w:szCs w:val="21"/>
                              </w:rPr>
                            </w:pPr>
                            <w:r w:rsidRPr="00F621A1">
                              <w:rPr>
                                <w:rFonts w:eastAsia="Symbol"/>
                                <w:sz w:val="21"/>
                                <w:szCs w:val="21"/>
                              </w:rPr>
                              <w:t>Sektörün dolar bazında küçülmesi</w:t>
                            </w:r>
                          </w:p>
                          <w:p w:rsidR="00F621A1" w:rsidRDefault="00F621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68.75pt;margin-top:7.65pt;width:205.4pt;height:1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" stroked="f">
                <v:textbox>
                  <w:txbxContent>
                    <w:p w:rsidR="00F621A1" w:rsidRPr="00F621A1" w:rsidRDefault="00F621A1" w:rsidP="00F621A1">
                      <w:pPr>
                        <w:spacing w:line="280" w:lineRule="atLeast"/>
                        <w:jc w:val="both"/>
                        <w:rPr>
                          <w:b/>
                          <w:i/>
                          <w:sz w:val="21"/>
                          <w:szCs w:val="21"/>
                          <w:u w:val="single"/>
                        </w:rPr>
                      </w:pPr>
                      <w:r w:rsidRPr="00F621A1">
                        <w:rPr>
                          <w:b/>
                          <w:i/>
                          <w:sz w:val="21"/>
                          <w:szCs w:val="21"/>
                          <w:u w:val="single"/>
                        </w:rPr>
                        <w:t>Zayıf Yönleri Ve Tehditler</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 xml:space="preserve">Yüksek Tahsili Gecikmiş Alacaklar </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Yüksek kaldıraç oranı ile çalışması</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Düşük karlılık</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Ekonominin belirsiz bir yapıda seyretmesi</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Ödeme problemi olan firma/şahıs sayısındaki artış</w:t>
                      </w:r>
                    </w:p>
                    <w:p w:rsidR="00F621A1" w:rsidRPr="00F621A1" w:rsidRDefault="00F621A1" w:rsidP="00F621A1">
                      <w:pPr>
                        <w:numPr>
                          <w:ilvl w:val="0"/>
                          <w:numId w:val="4"/>
                        </w:numPr>
                        <w:spacing w:line="280" w:lineRule="atLeast"/>
                        <w:ind w:left="284" w:hanging="284"/>
                        <w:jc w:val="both"/>
                        <w:rPr>
                          <w:sz w:val="21"/>
                          <w:szCs w:val="21"/>
                        </w:rPr>
                      </w:pPr>
                      <w:r w:rsidRPr="00F621A1">
                        <w:rPr>
                          <w:sz w:val="21"/>
                          <w:szCs w:val="21"/>
                        </w:rPr>
                        <w:t>Türkiye’de yatırımların azalması</w:t>
                      </w:r>
                      <w:r w:rsidRPr="00F621A1">
                        <w:rPr>
                          <w:rFonts w:eastAsia="Symbol"/>
                          <w:sz w:val="21"/>
                          <w:szCs w:val="21"/>
                        </w:rPr>
                        <w:t>     </w:t>
                      </w:r>
                    </w:p>
                    <w:p w:rsidR="00F621A1" w:rsidRPr="00F621A1" w:rsidRDefault="00F621A1" w:rsidP="00F621A1">
                      <w:pPr>
                        <w:numPr>
                          <w:ilvl w:val="0"/>
                          <w:numId w:val="4"/>
                        </w:numPr>
                        <w:spacing w:line="280" w:lineRule="atLeast"/>
                        <w:ind w:left="284" w:hanging="284"/>
                        <w:jc w:val="both"/>
                        <w:rPr>
                          <w:rStyle w:val="style11"/>
                          <w:color w:val="auto"/>
                          <w:sz w:val="21"/>
                          <w:szCs w:val="21"/>
                        </w:rPr>
                      </w:pPr>
                      <w:r w:rsidRPr="00F621A1">
                        <w:rPr>
                          <w:rFonts w:eastAsia="Symbol"/>
                          <w:sz w:val="21"/>
                          <w:szCs w:val="21"/>
                        </w:rPr>
                        <w:t>Sektörün dolar bazında küçülmesi</w:t>
                      </w:r>
                    </w:p>
                    <w:p w:rsidR="00F621A1" w:rsidRDefault="00F621A1"/>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97155</wp:posOffset>
                </wp:positionV>
                <wp:extent cx="3456305" cy="1933575"/>
                <wp:effectExtent l="0" t="0" r="127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1A1" w:rsidRPr="00F621A1" w:rsidRDefault="00F621A1" w:rsidP="00F621A1">
                            <w:pPr>
                              <w:tabs>
                                <w:tab w:val="left" w:pos="1425"/>
                              </w:tabs>
                              <w:spacing w:line="280" w:lineRule="atLeast"/>
                              <w:jc w:val="both"/>
                              <w:rPr>
                                <w:b/>
                                <w:i/>
                                <w:sz w:val="21"/>
                                <w:szCs w:val="21"/>
                                <w:u w:val="single"/>
                              </w:rPr>
                            </w:pPr>
                            <w:r w:rsidRPr="00F621A1">
                              <w:rPr>
                                <w:b/>
                                <w:i/>
                                <w:sz w:val="21"/>
                                <w:szCs w:val="21"/>
                                <w:u w:val="single"/>
                              </w:rPr>
                              <w:t>Güçlü Yönleri Ve Fırsatlar</w:t>
                            </w:r>
                          </w:p>
                          <w:p w:rsidR="00F621A1" w:rsidRDefault="00F621A1" w:rsidP="00F621A1">
                            <w:pPr>
                              <w:numPr>
                                <w:ilvl w:val="0"/>
                                <w:numId w:val="4"/>
                              </w:numPr>
                              <w:spacing w:line="280" w:lineRule="atLeast"/>
                              <w:ind w:left="284" w:hanging="284"/>
                              <w:jc w:val="both"/>
                              <w:rPr>
                                <w:sz w:val="21"/>
                                <w:szCs w:val="21"/>
                              </w:rPr>
                            </w:pPr>
                            <w:r>
                              <w:rPr>
                                <w:sz w:val="21"/>
                                <w:szCs w:val="21"/>
                              </w:rPr>
                              <w:t>Güçlü ortaklık yapısı</w:t>
                            </w:r>
                          </w:p>
                          <w:p w:rsidR="00F621A1" w:rsidRPr="00FE2D61" w:rsidRDefault="00F621A1" w:rsidP="00F621A1">
                            <w:pPr>
                              <w:numPr>
                                <w:ilvl w:val="0"/>
                                <w:numId w:val="4"/>
                              </w:numPr>
                              <w:spacing w:line="280" w:lineRule="atLeast"/>
                              <w:ind w:left="284" w:hanging="284"/>
                              <w:jc w:val="both"/>
                              <w:rPr>
                                <w:sz w:val="21"/>
                                <w:szCs w:val="21"/>
                              </w:rPr>
                            </w:pPr>
                            <w:r>
                              <w:rPr>
                                <w:sz w:val="21"/>
                                <w:szCs w:val="21"/>
                              </w:rPr>
                              <w:t xml:space="preserve">Güçlü pazar payı </w:t>
                            </w:r>
                          </w:p>
                          <w:p w:rsidR="00F621A1" w:rsidRDefault="00F621A1" w:rsidP="00F621A1">
                            <w:pPr>
                              <w:numPr>
                                <w:ilvl w:val="0"/>
                                <w:numId w:val="4"/>
                              </w:numPr>
                              <w:spacing w:line="280" w:lineRule="atLeast"/>
                              <w:ind w:left="284" w:hanging="284"/>
                              <w:jc w:val="both"/>
                              <w:rPr>
                                <w:sz w:val="21"/>
                                <w:szCs w:val="21"/>
                              </w:rPr>
                            </w:pPr>
                            <w:r w:rsidRPr="008C495B">
                              <w:rPr>
                                <w:sz w:val="21"/>
                                <w:szCs w:val="21"/>
                              </w:rPr>
                              <w:t>Mü</w:t>
                            </w:r>
                            <w:r>
                              <w:rPr>
                                <w:sz w:val="21"/>
                                <w:szCs w:val="21"/>
                              </w:rPr>
                              <w:t xml:space="preserve">şteri </w:t>
                            </w:r>
                            <w:proofErr w:type="gramStart"/>
                            <w:r>
                              <w:rPr>
                                <w:sz w:val="21"/>
                                <w:szCs w:val="21"/>
                              </w:rPr>
                              <w:t>portföyünün</w:t>
                            </w:r>
                            <w:proofErr w:type="gramEnd"/>
                            <w:r>
                              <w:rPr>
                                <w:sz w:val="21"/>
                                <w:szCs w:val="21"/>
                              </w:rPr>
                              <w:t xml:space="preserve"> sektör ve firma adedi bazında çeşitliliği </w:t>
                            </w:r>
                          </w:p>
                          <w:p w:rsidR="00F621A1" w:rsidRDefault="00F621A1" w:rsidP="00F621A1">
                            <w:pPr>
                              <w:numPr>
                                <w:ilvl w:val="0"/>
                                <w:numId w:val="4"/>
                              </w:numPr>
                              <w:spacing w:line="280" w:lineRule="atLeast"/>
                              <w:ind w:left="284" w:hanging="284"/>
                              <w:jc w:val="both"/>
                              <w:rPr>
                                <w:sz w:val="21"/>
                                <w:szCs w:val="21"/>
                              </w:rPr>
                            </w:pPr>
                            <w:r w:rsidRPr="00327CC5">
                              <w:rPr>
                                <w:sz w:val="21"/>
                                <w:szCs w:val="21"/>
                              </w:rPr>
                              <w:t>Fon temin etme kolaylığı</w:t>
                            </w:r>
                          </w:p>
                          <w:p w:rsidR="00F621A1" w:rsidRDefault="00F621A1" w:rsidP="00F621A1">
                            <w:pPr>
                              <w:numPr>
                                <w:ilvl w:val="0"/>
                                <w:numId w:val="4"/>
                              </w:numPr>
                              <w:spacing w:line="280" w:lineRule="atLeast"/>
                              <w:ind w:left="284" w:hanging="284"/>
                              <w:jc w:val="both"/>
                              <w:rPr>
                                <w:sz w:val="21"/>
                                <w:szCs w:val="21"/>
                              </w:rPr>
                            </w:pPr>
                            <w:r>
                              <w:rPr>
                                <w:sz w:val="21"/>
                                <w:szCs w:val="21"/>
                              </w:rPr>
                              <w:t>Halkbank’ın</w:t>
                            </w:r>
                            <w:r w:rsidRPr="008C495B">
                              <w:rPr>
                                <w:sz w:val="21"/>
                                <w:szCs w:val="21"/>
                              </w:rPr>
                              <w:t xml:space="preserve"> şube ağının pazarlama alanındaki desteği</w:t>
                            </w:r>
                          </w:p>
                          <w:p w:rsidR="00F621A1" w:rsidRDefault="00F621A1" w:rsidP="00F621A1">
                            <w:pPr>
                              <w:numPr>
                                <w:ilvl w:val="0"/>
                                <w:numId w:val="4"/>
                              </w:numPr>
                              <w:spacing w:line="280" w:lineRule="atLeast"/>
                              <w:ind w:left="284" w:hanging="284"/>
                              <w:jc w:val="both"/>
                              <w:rPr>
                                <w:sz w:val="21"/>
                                <w:szCs w:val="21"/>
                              </w:rPr>
                            </w:pPr>
                            <w:r w:rsidRPr="00327CC5">
                              <w:rPr>
                                <w:sz w:val="21"/>
                                <w:szCs w:val="21"/>
                              </w:rPr>
                              <w:t>Yeni ürünlerin de etkisiyle sektörün büyüme potansiyeli</w:t>
                            </w:r>
                          </w:p>
                          <w:p w:rsidR="00F621A1" w:rsidRDefault="00F621A1" w:rsidP="00F621A1">
                            <w:pPr>
                              <w:numPr>
                                <w:ilvl w:val="0"/>
                                <w:numId w:val="4"/>
                              </w:numPr>
                              <w:spacing w:line="280" w:lineRule="atLeast"/>
                              <w:ind w:left="284" w:hanging="284"/>
                              <w:jc w:val="both"/>
                              <w:rPr>
                                <w:sz w:val="21"/>
                                <w:szCs w:val="21"/>
                              </w:rPr>
                            </w:pPr>
                            <w:r>
                              <w:rPr>
                                <w:sz w:val="21"/>
                                <w:szCs w:val="21"/>
                              </w:rPr>
                              <w:t>Kamunun büyük alt yapı projelerinin devam etmesi</w:t>
                            </w:r>
                          </w:p>
                          <w:p w:rsidR="00F621A1" w:rsidRPr="00327CC5" w:rsidRDefault="00F621A1" w:rsidP="00F621A1">
                            <w:pPr>
                              <w:numPr>
                                <w:ilvl w:val="0"/>
                                <w:numId w:val="4"/>
                              </w:numPr>
                              <w:spacing w:line="280" w:lineRule="atLeast"/>
                              <w:ind w:left="284" w:hanging="284"/>
                              <w:jc w:val="both"/>
                              <w:rPr>
                                <w:sz w:val="21"/>
                                <w:szCs w:val="21"/>
                              </w:rPr>
                            </w:pPr>
                            <w:proofErr w:type="spellStart"/>
                            <w:r>
                              <w:rPr>
                                <w:sz w:val="21"/>
                                <w:szCs w:val="21"/>
                              </w:rPr>
                              <w:t>Penetrasyon</w:t>
                            </w:r>
                            <w:proofErr w:type="spellEnd"/>
                            <w:r>
                              <w:rPr>
                                <w:sz w:val="21"/>
                                <w:szCs w:val="21"/>
                              </w:rPr>
                              <w:t xml:space="preserve"> oranının hala düşük olması</w:t>
                            </w:r>
                          </w:p>
                          <w:p w:rsidR="00F621A1" w:rsidRDefault="00F621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pt;margin-top:7.65pt;width:272.1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" filled="f" stroked="f">
                <v:textbox>
                  <w:txbxContent>
                    <w:p w:rsidR="00F621A1" w:rsidRPr="00F621A1" w:rsidRDefault="00F621A1" w:rsidP="00F621A1">
                      <w:pPr>
                        <w:tabs>
                          <w:tab w:val="left" w:pos="1425"/>
                        </w:tabs>
                        <w:spacing w:line="280" w:lineRule="atLeast"/>
                        <w:jc w:val="both"/>
                        <w:rPr>
                          <w:b/>
                          <w:i/>
                          <w:sz w:val="21"/>
                          <w:szCs w:val="21"/>
                          <w:u w:val="single"/>
                        </w:rPr>
                      </w:pPr>
                      <w:r w:rsidRPr="00F621A1">
                        <w:rPr>
                          <w:b/>
                          <w:i/>
                          <w:sz w:val="21"/>
                          <w:szCs w:val="21"/>
                          <w:u w:val="single"/>
                        </w:rPr>
                        <w:t>Güçlü Yönleri Ve Fırsatlar</w:t>
                      </w:r>
                    </w:p>
                    <w:p w:rsidR="00F621A1" w:rsidRDefault="00F621A1" w:rsidP="00F621A1">
                      <w:pPr>
                        <w:numPr>
                          <w:ilvl w:val="0"/>
                          <w:numId w:val="4"/>
                        </w:numPr>
                        <w:spacing w:line="280" w:lineRule="atLeast"/>
                        <w:ind w:left="284" w:hanging="284"/>
                        <w:jc w:val="both"/>
                        <w:rPr>
                          <w:sz w:val="21"/>
                          <w:szCs w:val="21"/>
                        </w:rPr>
                      </w:pPr>
                      <w:r>
                        <w:rPr>
                          <w:sz w:val="21"/>
                          <w:szCs w:val="21"/>
                        </w:rPr>
                        <w:t>Güçlü ortaklık yapısı</w:t>
                      </w:r>
                    </w:p>
                    <w:p w:rsidR="00F621A1" w:rsidRPr="00FE2D61" w:rsidRDefault="00F621A1" w:rsidP="00F621A1">
                      <w:pPr>
                        <w:numPr>
                          <w:ilvl w:val="0"/>
                          <w:numId w:val="4"/>
                        </w:numPr>
                        <w:spacing w:line="280" w:lineRule="atLeast"/>
                        <w:ind w:left="284" w:hanging="284"/>
                        <w:jc w:val="both"/>
                        <w:rPr>
                          <w:sz w:val="21"/>
                          <w:szCs w:val="21"/>
                        </w:rPr>
                      </w:pPr>
                      <w:r>
                        <w:rPr>
                          <w:sz w:val="21"/>
                          <w:szCs w:val="21"/>
                        </w:rPr>
                        <w:t xml:space="preserve">Güçlü pazar payı </w:t>
                      </w:r>
                    </w:p>
                    <w:p w:rsidR="00F621A1" w:rsidRDefault="00F621A1" w:rsidP="00F621A1">
                      <w:pPr>
                        <w:numPr>
                          <w:ilvl w:val="0"/>
                          <w:numId w:val="4"/>
                        </w:numPr>
                        <w:spacing w:line="280" w:lineRule="atLeast"/>
                        <w:ind w:left="284" w:hanging="284"/>
                        <w:jc w:val="both"/>
                        <w:rPr>
                          <w:sz w:val="21"/>
                          <w:szCs w:val="21"/>
                        </w:rPr>
                      </w:pPr>
                      <w:r w:rsidRPr="008C495B">
                        <w:rPr>
                          <w:sz w:val="21"/>
                          <w:szCs w:val="21"/>
                        </w:rPr>
                        <w:t>Mü</w:t>
                      </w:r>
                      <w:r>
                        <w:rPr>
                          <w:sz w:val="21"/>
                          <w:szCs w:val="21"/>
                        </w:rPr>
                        <w:t xml:space="preserve">şteri portföyünün sektör ve firma adedi bazında çeşitliliği </w:t>
                      </w:r>
                    </w:p>
                    <w:p w:rsidR="00F621A1" w:rsidRDefault="00F621A1" w:rsidP="00F621A1">
                      <w:pPr>
                        <w:numPr>
                          <w:ilvl w:val="0"/>
                          <w:numId w:val="4"/>
                        </w:numPr>
                        <w:spacing w:line="280" w:lineRule="atLeast"/>
                        <w:ind w:left="284" w:hanging="284"/>
                        <w:jc w:val="both"/>
                        <w:rPr>
                          <w:sz w:val="21"/>
                          <w:szCs w:val="21"/>
                        </w:rPr>
                      </w:pPr>
                      <w:r w:rsidRPr="00327CC5">
                        <w:rPr>
                          <w:sz w:val="21"/>
                          <w:szCs w:val="21"/>
                        </w:rPr>
                        <w:t>Fon temin etme kolaylığı</w:t>
                      </w:r>
                    </w:p>
                    <w:p w:rsidR="00F621A1" w:rsidRDefault="00F621A1" w:rsidP="00F621A1">
                      <w:pPr>
                        <w:numPr>
                          <w:ilvl w:val="0"/>
                          <w:numId w:val="4"/>
                        </w:numPr>
                        <w:spacing w:line="280" w:lineRule="atLeast"/>
                        <w:ind w:left="284" w:hanging="284"/>
                        <w:jc w:val="both"/>
                        <w:rPr>
                          <w:sz w:val="21"/>
                          <w:szCs w:val="21"/>
                        </w:rPr>
                      </w:pPr>
                      <w:r>
                        <w:rPr>
                          <w:sz w:val="21"/>
                          <w:szCs w:val="21"/>
                        </w:rPr>
                        <w:t>Halkbank’ın</w:t>
                      </w:r>
                      <w:r w:rsidRPr="008C495B">
                        <w:rPr>
                          <w:sz w:val="21"/>
                          <w:szCs w:val="21"/>
                        </w:rPr>
                        <w:t xml:space="preserve"> şube ağının pazarlama alanındaki desteği</w:t>
                      </w:r>
                    </w:p>
                    <w:p w:rsidR="00F621A1" w:rsidRDefault="00F621A1" w:rsidP="00F621A1">
                      <w:pPr>
                        <w:numPr>
                          <w:ilvl w:val="0"/>
                          <w:numId w:val="4"/>
                        </w:numPr>
                        <w:spacing w:line="280" w:lineRule="atLeast"/>
                        <w:ind w:left="284" w:hanging="284"/>
                        <w:jc w:val="both"/>
                        <w:rPr>
                          <w:sz w:val="21"/>
                          <w:szCs w:val="21"/>
                        </w:rPr>
                      </w:pPr>
                      <w:r w:rsidRPr="00327CC5">
                        <w:rPr>
                          <w:sz w:val="21"/>
                          <w:szCs w:val="21"/>
                        </w:rPr>
                        <w:t>Yeni ürünlerin de etkisiyle sektörün büyüme potansiyeli</w:t>
                      </w:r>
                    </w:p>
                    <w:p w:rsidR="00F621A1" w:rsidRDefault="00F621A1" w:rsidP="00F621A1">
                      <w:pPr>
                        <w:numPr>
                          <w:ilvl w:val="0"/>
                          <w:numId w:val="4"/>
                        </w:numPr>
                        <w:spacing w:line="280" w:lineRule="atLeast"/>
                        <w:ind w:left="284" w:hanging="284"/>
                        <w:jc w:val="both"/>
                        <w:rPr>
                          <w:sz w:val="21"/>
                          <w:szCs w:val="21"/>
                        </w:rPr>
                      </w:pPr>
                      <w:r>
                        <w:rPr>
                          <w:sz w:val="21"/>
                          <w:szCs w:val="21"/>
                        </w:rPr>
                        <w:t>Kamunun büyük alt yapı projelerinin devam etmesi</w:t>
                      </w:r>
                    </w:p>
                    <w:p w:rsidR="00F621A1" w:rsidRPr="00327CC5" w:rsidRDefault="00F621A1" w:rsidP="00F621A1">
                      <w:pPr>
                        <w:numPr>
                          <w:ilvl w:val="0"/>
                          <w:numId w:val="4"/>
                        </w:numPr>
                        <w:spacing w:line="280" w:lineRule="atLeast"/>
                        <w:ind w:left="284" w:hanging="284"/>
                        <w:jc w:val="both"/>
                        <w:rPr>
                          <w:sz w:val="21"/>
                          <w:szCs w:val="21"/>
                        </w:rPr>
                      </w:pPr>
                      <w:r>
                        <w:rPr>
                          <w:sz w:val="21"/>
                          <w:szCs w:val="21"/>
                        </w:rPr>
                        <w:t>Penetrasyon oranının hala düşük olması</w:t>
                      </w:r>
                    </w:p>
                    <w:p w:rsidR="00F621A1" w:rsidRDefault="00F621A1"/>
                  </w:txbxContent>
                </v:textbox>
              </v:shape>
            </w:pict>
          </mc:Fallback>
        </mc:AlternateContent>
      </w:r>
    </w:p>
    <w:p w:rsidR="00BD4D7B" w:rsidRDefault="00BD4D7B"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6D0AF0">
      <w:pPr>
        <w:jc w:val="center"/>
        <w:rPr>
          <w:sz w:val="21"/>
          <w:szCs w:val="21"/>
        </w:rPr>
      </w:pPr>
    </w:p>
    <w:p w:rsidR="00F621A1" w:rsidRDefault="00F621A1" w:rsidP="00F621A1">
      <w:pPr>
        <w:pStyle w:val="ResimYazs"/>
        <w:rPr>
          <w:b/>
        </w:rPr>
      </w:pPr>
      <w:r>
        <w:t>Halk</w:t>
      </w:r>
      <w:r w:rsidRPr="008C495B">
        <w:t xml:space="preserve"> Leasing </w:t>
      </w:r>
      <w:r>
        <w:t>Mali Tablolar Seçilmiş Veriler</w:t>
      </w:r>
    </w:p>
    <w:tbl>
      <w:tblPr>
        <w:tblW w:w="935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42"/>
        <w:gridCol w:w="1186"/>
        <w:gridCol w:w="1265"/>
        <w:gridCol w:w="1222"/>
        <w:gridCol w:w="1250"/>
        <w:gridCol w:w="1291"/>
      </w:tblGrid>
      <w:tr w:rsidR="00F621A1" w:rsidRPr="008C495B" w:rsidTr="00F621A1">
        <w:trPr>
          <w:trHeight w:val="170"/>
          <w:jc w:val="center"/>
        </w:trPr>
        <w:tc>
          <w:tcPr>
            <w:tcW w:w="1679" w:type="pct"/>
            <w:tcBorders>
              <w:top w:val="single" w:sz="4" w:space="0" w:color="auto"/>
              <w:bottom w:val="single" w:sz="4" w:space="0" w:color="auto"/>
            </w:tcBorders>
            <w:noWrap/>
            <w:vAlign w:val="bottom"/>
          </w:tcPr>
          <w:p w:rsidR="00F621A1" w:rsidRPr="008C495B" w:rsidRDefault="00F621A1" w:rsidP="001340DA">
            <w:pPr>
              <w:spacing w:line="280" w:lineRule="atLeast"/>
              <w:rPr>
                <w:rFonts w:eastAsia="MS Mincho"/>
                <w:b/>
                <w:bCs/>
                <w:sz w:val="18"/>
                <w:szCs w:val="18"/>
                <w:lang w:eastAsia="ja-JP"/>
              </w:rPr>
            </w:pPr>
            <w:r w:rsidRPr="008C495B">
              <w:rPr>
                <w:b/>
                <w:sz w:val="18"/>
                <w:szCs w:val="18"/>
              </w:rPr>
              <w:t>(1000 TL)</w:t>
            </w:r>
          </w:p>
        </w:tc>
        <w:tc>
          <w:tcPr>
            <w:tcW w:w="634" w:type="pct"/>
            <w:tcBorders>
              <w:top w:val="single" w:sz="4" w:space="0" w:color="auto"/>
              <w:bottom w:val="single" w:sz="4" w:space="0" w:color="auto"/>
            </w:tcBorders>
            <w:vAlign w:val="bottom"/>
          </w:tcPr>
          <w:p w:rsidR="00F621A1" w:rsidRPr="008C495B" w:rsidRDefault="00F621A1" w:rsidP="001340DA">
            <w:pPr>
              <w:spacing w:line="280" w:lineRule="atLeast"/>
              <w:jc w:val="right"/>
              <w:rPr>
                <w:b/>
                <w:bCs/>
                <w:sz w:val="18"/>
                <w:szCs w:val="18"/>
              </w:rPr>
            </w:pPr>
            <w:r w:rsidRPr="008C495B">
              <w:rPr>
                <w:b/>
                <w:bCs/>
                <w:sz w:val="18"/>
                <w:szCs w:val="18"/>
              </w:rPr>
              <w:t>2011</w:t>
            </w:r>
          </w:p>
        </w:tc>
        <w:tc>
          <w:tcPr>
            <w:tcW w:w="676" w:type="pct"/>
            <w:tcBorders>
              <w:top w:val="single" w:sz="4" w:space="0" w:color="auto"/>
              <w:bottom w:val="single" w:sz="4" w:space="0" w:color="auto"/>
            </w:tcBorders>
            <w:vAlign w:val="bottom"/>
          </w:tcPr>
          <w:p w:rsidR="00F621A1" w:rsidRPr="008C495B" w:rsidRDefault="00F621A1" w:rsidP="001340DA">
            <w:pPr>
              <w:spacing w:line="280" w:lineRule="atLeast"/>
              <w:jc w:val="right"/>
              <w:rPr>
                <w:b/>
                <w:bCs/>
                <w:sz w:val="18"/>
                <w:szCs w:val="18"/>
              </w:rPr>
            </w:pPr>
            <w:r w:rsidRPr="008C495B">
              <w:rPr>
                <w:b/>
                <w:bCs/>
                <w:sz w:val="18"/>
                <w:szCs w:val="18"/>
              </w:rPr>
              <w:t>2012</w:t>
            </w:r>
          </w:p>
        </w:tc>
        <w:tc>
          <w:tcPr>
            <w:tcW w:w="653" w:type="pct"/>
            <w:tcBorders>
              <w:top w:val="single" w:sz="4" w:space="0" w:color="auto"/>
              <w:bottom w:val="single" w:sz="4" w:space="0" w:color="auto"/>
            </w:tcBorders>
            <w:vAlign w:val="bottom"/>
          </w:tcPr>
          <w:p w:rsidR="00F621A1" w:rsidRPr="008C495B" w:rsidRDefault="00F621A1" w:rsidP="001340DA">
            <w:pPr>
              <w:spacing w:line="280" w:lineRule="atLeast"/>
              <w:jc w:val="right"/>
              <w:rPr>
                <w:b/>
                <w:bCs/>
                <w:sz w:val="18"/>
                <w:szCs w:val="18"/>
              </w:rPr>
            </w:pPr>
            <w:r w:rsidRPr="008C495B">
              <w:rPr>
                <w:b/>
                <w:bCs/>
                <w:sz w:val="18"/>
                <w:szCs w:val="18"/>
              </w:rPr>
              <w:t>2013</w:t>
            </w:r>
          </w:p>
        </w:tc>
        <w:tc>
          <w:tcPr>
            <w:tcW w:w="668" w:type="pct"/>
            <w:tcBorders>
              <w:top w:val="single" w:sz="4" w:space="0" w:color="auto"/>
              <w:bottom w:val="single" w:sz="4" w:space="0" w:color="auto"/>
            </w:tcBorders>
            <w:vAlign w:val="bottom"/>
          </w:tcPr>
          <w:p w:rsidR="00F621A1" w:rsidRPr="008C495B" w:rsidRDefault="00F621A1" w:rsidP="001340DA">
            <w:pPr>
              <w:spacing w:line="280" w:lineRule="atLeast"/>
              <w:jc w:val="right"/>
              <w:rPr>
                <w:b/>
                <w:bCs/>
                <w:sz w:val="18"/>
                <w:szCs w:val="18"/>
              </w:rPr>
            </w:pPr>
            <w:r>
              <w:rPr>
                <w:b/>
                <w:bCs/>
                <w:sz w:val="18"/>
                <w:szCs w:val="18"/>
              </w:rPr>
              <w:t>2014</w:t>
            </w:r>
          </w:p>
        </w:tc>
        <w:tc>
          <w:tcPr>
            <w:tcW w:w="690" w:type="pct"/>
            <w:tcBorders>
              <w:top w:val="single" w:sz="4" w:space="0" w:color="auto"/>
              <w:bottom w:val="single" w:sz="4" w:space="0" w:color="auto"/>
            </w:tcBorders>
            <w:vAlign w:val="bottom"/>
          </w:tcPr>
          <w:p w:rsidR="00F621A1" w:rsidRPr="008C495B" w:rsidRDefault="00F621A1" w:rsidP="001340DA">
            <w:pPr>
              <w:spacing w:line="280" w:lineRule="atLeast"/>
              <w:jc w:val="right"/>
              <w:rPr>
                <w:b/>
                <w:bCs/>
                <w:sz w:val="18"/>
                <w:szCs w:val="18"/>
              </w:rPr>
            </w:pPr>
            <w:r>
              <w:rPr>
                <w:b/>
                <w:bCs/>
                <w:sz w:val="18"/>
                <w:szCs w:val="18"/>
              </w:rPr>
              <w:t>2015</w:t>
            </w:r>
          </w:p>
        </w:tc>
      </w:tr>
      <w:tr w:rsidR="00F621A1" w:rsidRPr="008C495B" w:rsidTr="00F621A1">
        <w:trPr>
          <w:trHeight w:val="170"/>
          <w:jc w:val="center"/>
        </w:trPr>
        <w:tc>
          <w:tcPr>
            <w:tcW w:w="1679" w:type="pct"/>
            <w:tcBorders>
              <w:top w:val="single" w:sz="4" w:space="0" w:color="auto"/>
            </w:tcBorders>
            <w:noWrap/>
            <w:vAlign w:val="bottom"/>
          </w:tcPr>
          <w:p w:rsidR="00F621A1" w:rsidRPr="008C495B" w:rsidRDefault="00F621A1" w:rsidP="001340DA">
            <w:pPr>
              <w:spacing w:line="280" w:lineRule="atLeast"/>
              <w:rPr>
                <w:rFonts w:eastAsia="MS Mincho"/>
                <w:sz w:val="18"/>
                <w:szCs w:val="18"/>
                <w:lang w:eastAsia="ja-JP"/>
              </w:rPr>
            </w:pPr>
            <w:r w:rsidRPr="008C495B">
              <w:rPr>
                <w:sz w:val="18"/>
                <w:szCs w:val="18"/>
              </w:rPr>
              <w:t>Aktif toplamı</w:t>
            </w:r>
          </w:p>
        </w:tc>
        <w:tc>
          <w:tcPr>
            <w:tcW w:w="634" w:type="pct"/>
            <w:tcBorders>
              <w:top w:val="single" w:sz="4" w:space="0" w:color="auto"/>
            </w:tcBorders>
            <w:vAlign w:val="bottom"/>
          </w:tcPr>
          <w:p w:rsidR="00F621A1" w:rsidRPr="008C495B" w:rsidRDefault="00F621A1" w:rsidP="001340DA">
            <w:pPr>
              <w:jc w:val="right"/>
              <w:rPr>
                <w:color w:val="000000"/>
                <w:sz w:val="18"/>
                <w:szCs w:val="18"/>
              </w:rPr>
            </w:pPr>
            <w:r>
              <w:rPr>
                <w:color w:val="000000"/>
                <w:sz w:val="18"/>
                <w:szCs w:val="18"/>
              </w:rPr>
              <w:t>937</w:t>
            </w:r>
            <w:r w:rsidRPr="008C495B">
              <w:rPr>
                <w:color w:val="000000"/>
                <w:sz w:val="18"/>
                <w:szCs w:val="18"/>
              </w:rPr>
              <w:t>.690</w:t>
            </w:r>
          </w:p>
        </w:tc>
        <w:tc>
          <w:tcPr>
            <w:tcW w:w="676" w:type="pct"/>
            <w:tcBorders>
              <w:top w:val="single" w:sz="4" w:space="0" w:color="auto"/>
            </w:tcBorders>
            <w:vAlign w:val="bottom"/>
          </w:tcPr>
          <w:p w:rsidR="00F621A1" w:rsidRPr="008C495B" w:rsidRDefault="00F621A1" w:rsidP="001340DA">
            <w:pPr>
              <w:jc w:val="right"/>
              <w:rPr>
                <w:color w:val="000000"/>
                <w:sz w:val="18"/>
                <w:szCs w:val="18"/>
              </w:rPr>
            </w:pPr>
            <w:r w:rsidRPr="008C495B">
              <w:rPr>
                <w:color w:val="000000"/>
                <w:sz w:val="18"/>
                <w:szCs w:val="18"/>
              </w:rPr>
              <w:t>1.174.163</w:t>
            </w:r>
          </w:p>
        </w:tc>
        <w:tc>
          <w:tcPr>
            <w:tcW w:w="653" w:type="pct"/>
            <w:tcBorders>
              <w:top w:val="single" w:sz="4" w:space="0" w:color="auto"/>
            </w:tcBorders>
            <w:vAlign w:val="bottom"/>
          </w:tcPr>
          <w:p w:rsidR="00F621A1" w:rsidRPr="008C495B" w:rsidRDefault="00F621A1" w:rsidP="001340DA">
            <w:pPr>
              <w:jc w:val="right"/>
              <w:rPr>
                <w:color w:val="000000"/>
                <w:sz w:val="18"/>
                <w:szCs w:val="18"/>
              </w:rPr>
            </w:pPr>
            <w:r w:rsidRPr="008C495B">
              <w:rPr>
                <w:color w:val="000000"/>
                <w:sz w:val="18"/>
                <w:szCs w:val="18"/>
              </w:rPr>
              <w:t>2.030.844</w:t>
            </w:r>
          </w:p>
        </w:tc>
        <w:tc>
          <w:tcPr>
            <w:tcW w:w="668" w:type="pct"/>
            <w:tcBorders>
              <w:top w:val="single" w:sz="4" w:space="0" w:color="auto"/>
            </w:tcBorders>
            <w:vAlign w:val="bottom"/>
          </w:tcPr>
          <w:p w:rsidR="00F621A1" w:rsidRPr="008C495B" w:rsidRDefault="00F621A1" w:rsidP="001340DA">
            <w:pPr>
              <w:jc w:val="right"/>
              <w:rPr>
                <w:color w:val="000000"/>
                <w:sz w:val="18"/>
                <w:szCs w:val="18"/>
              </w:rPr>
            </w:pPr>
            <w:r>
              <w:rPr>
                <w:color w:val="000000"/>
                <w:sz w:val="18"/>
                <w:szCs w:val="18"/>
              </w:rPr>
              <w:t>2.050.406</w:t>
            </w:r>
          </w:p>
        </w:tc>
        <w:tc>
          <w:tcPr>
            <w:tcW w:w="690" w:type="pct"/>
            <w:tcBorders>
              <w:top w:val="single" w:sz="4" w:space="0" w:color="auto"/>
            </w:tcBorders>
            <w:vAlign w:val="bottom"/>
          </w:tcPr>
          <w:p w:rsidR="00F621A1" w:rsidRPr="008C495B" w:rsidRDefault="00F621A1" w:rsidP="001340DA">
            <w:pPr>
              <w:jc w:val="right"/>
              <w:rPr>
                <w:color w:val="000000"/>
                <w:sz w:val="18"/>
                <w:szCs w:val="18"/>
              </w:rPr>
            </w:pPr>
            <w:r>
              <w:rPr>
                <w:color w:val="000000"/>
                <w:sz w:val="18"/>
                <w:szCs w:val="18"/>
              </w:rPr>
              <w:t>2.389.156</w:t>
            </w:r>
          </w:p>
        </w:tc>
      </w:tr>
      <w:tr w:rsidR="00F621A1" w:rsidRPr="008C495B" w:rsidTr="00F621A1">
        <w:trPr>
          <w:trHeight w:val="170"/>
          <w:jc w:val="center"/>
        </w:trPr>
        <w:tc>
          <w:tcPr>
            <w:tcW w:w="1679" w:type="pct"/>
            <w:noWrap/>
            <w:vAlign w:val="bottom"/>
          </w:tcPr>
          <w:p w:rsidR="00F621A1" w:rsidRPr="008C495B" w:rsidRDefault="00F621A1" w:rsidP="001340DA">
            <w:pPr>
              <w:spacing w:line="280" w:lineRule="atLeast"/>
              <w:rPr>
                <w:i/>
                <w:sz w:val="18"/>
                <w:szCs w:val="18"/>
              </w:rPr>
            </w:pPr>
            <w:r w:rsidRPr="008C495B">
              <w:rPr>
                <w:i/>
                <w:sz w:val="18"/>
                <w:szCs w:val="18"/>
              </w:rPr>
              <w:t xml:space="preserve">    Aktif Büyüme Oranı</w:t>
            </w:r>
          </w:p>
        </w:tc>
        <w:tc>
          <w:tcPr>
            <w:tcW w:w="634" w:type="pct"/>
            <w:vAlign w:val="bottom"/>
          </w:tcPr>
          <w:p w:rsidR="00F621A1" w:rsidRPr="008C495B" w:rsidRDefault="00F621A1" w:rsidP="001340DA">
            <w:pPr>
              <w:jc w:val="right"/>
              <w:rPr>
                <w:i/>
                <w:color w:val="000000"/>
                <w:sz w:val="18"/>
                <w:szCs w:val="18"/>
              </w:rPr>
            </w:pPr>
            <w:r>
              <w:rPr>
                <w:i/>
                <w:color w:val="000000"/>
                <w:sz w:val="18"/>
                <w:szCs w:val="18"/>
              </w:rPr>
              <w:t>98,0</w:t>
            </w:r>
          </w:p>
        </w:tc>
        <w:tc>
          <w:tcPr>
            <w:tcW w:w="676" w:type="pct"/>
            <w:vAlign w:val="bottom"/>
          </w:tcPr>
          <w:p w:rsidR="00F621A1" w:rsidRPr="008C495B" w:rsidRDefault="00F621A1" w:rsidP="001340DA">
            <w:pPr>
              <w:jc w:val="right"/>
              <w:rPr>
                <w:i/>
                <w:color w:val="000000"/>
                <w:sz w:val="18"/>
                <w:szCs w:val="18"/>
              </w:rPr>
            </w:pPr>
            <w:r>
              <w:rPr>
                <w:i/>
                <w:color w:val="000000"/>
                <w:sz w:val="18"/>
                <w:szCs w:val="18"/>
              </w:rPr>
              <w:t>25,2</w:t>
            </w:r>
          </w:p>
        </w:tc>
        <w:tc>
          <w:tcPr>
            <w:tcW w:w="653" w:type="pct"/>
            <w:vAlign w:val="bottom"/>
          </w:tcPr>
          <w:p w:rsidR="00F621A1" w:rsidRPr="008C495B" w:rsidRDefault="00F621A1" w:rsidP="001340DA">
            <w:pPr>
              <w:jc w:val="right"/>
              <w:rPr>
                <w:i/>
                <w:color w:val="000000"/>
                <w:sz w:val="18"/>
                <w:szCs w:val="18"/>
              </w:rPr>
            </w:pPr>
            <w:r w:rsidRPr="008C495B">
              <w:rPr>
                <w:i/>
                <w:color w:val="000000"/>
                <w:sz w:val="18"/>
                <w:szCs w:val="18"/>
              </w:rPr>
              <w:t>73,0</w:t>
            </w:r>
          </w:p>
        </w:tc>
        <w:tc>
          <w:tcPr>
            <w:tcW w:w="668" w:type="pct"/>
            <w:vAlign w:val="bottom"/>
          </w:tcPr>
          <w:p w:rsidR="00F621A1" w:rsidRPr="008C495B" w:rsidRDefault="00F621A1" w:rsidP="001340DA">
            <w:pPr>
              <w:jc w:val="right"/>
              <w:rPr>
                <w:i/>
                <w:color w:val="000000"/>
                <w:sz w:val="18"/>
                <w:szCs w:val="18"/>
              </w:rPr>
            </w:pPr>
            <w:r>
              <w:rPr>
                <w:i/>
                <w:color w:val="000000"/>
                <w:sz w:val="18"/>
                <w:szCs w:val="18"/>
              </w:rPr>
              <w:t>1,0</w:t>
            </w:r>
          </w:p>
        </w:tc>
        <w:tc>
          <w:tcPr>
            <w:tcW w:w="690" w:type="pct"/>
            <w:vAlign w:val="bottom"/>
          </w:tcPr>
          <w:p w:rsidR="00F621A1" w:rsidRPr="008C495B" w:rsidRDefault="00F621A1" w:rsidP="001340DA">
            <w:pPr>
              <w:jc w:val="right"/>
              <w:rPr>
                <w:i/>
                <w:color w:val="000000"/>
                <w:sz w:val="18"/>
                <w:szCs w:val="18"/>
              </w:rPr>
            </w:pPr>
            <w:r>
              <w:rPr>
                <w:i/>
                <w:color w:val="000000"/>
                <w:sz w:val="18"/>
                <w:szCs w:val="18"/>
              </w:rPr>
              <w:t>16,5</w:t>
            </w:r>
          </w:p>
        </w:tc>
      </w:tr>
      <w:tr w:rsidR="00F621A1" w:rsidRPr="008C495B" w:rsidTr="00F621A1">
        <w:trPr>
          <w:trHeight w:val="170"/>
          <w:jc w:val="center"/>
        </w:trPr>
        <w:tc>
          <w:tcPr>
            <w:tcW w:w="1679" w:type="pct"/>
            <w:noWrap/>
            <w:vAlign w:val="bottom"/>
          </w:tcPr>
          <w:p w:rsidR="00F621A1" w:rsidRPr="008C495B" w:rsidRDefault="00F621A1" w:rsidP="001340DA">
            <w:pPr>
              <w:spacing w:line="280" w:lineRule="atLeast"/>
              <w:rPr>
                <w:rFonts w:eastAsia="MS Mincho"/>
                <w:sz w:val="18"/>
                <w:szCs w:val="18"/>
                <w:lang w:eastAsia="ja-JP"/>
              </w:rPr>
            </w:pPr>
            <w:r w:rsidRPr="008C495B">
              <w:rPr>
                <w:sz w:val="18"/>
                <w:szCs w:val="18"/>
              </w:rPr>
              <w:t>Toplam Leasing Alacakları (Net)</w:t>
            </w:r>
          </w:p>
        </w:tc>
        <w:tc>
          <w:tcPr>
            <w:tcW w:w="634" w:type="pct"/>
            <w:vAlign w:val="bottom"/>
          </w:tcPr>
          <w:p w:rsidR="00F621A1" w:rsidRPr="008C495B" w:rsidRDefault="00F621A1" w:rsidP="001340DA">
            <w:pPr>
              <w:jc w:val="right"/>
              <w:rPr>
                <w:color w:val="000000"/>
                <w:sz w:val="18"/>
                <w:szCs w:val="18"/>
              </w:rPr>
            </w:pPr>
            <w:r>
              <w:rPr>
                <w:color w:val="000000"/>
                <w:sz w:val="18"/>
                <w:szCs w:val="18"/>
              </w:rPr>
              <w:t>863.910</w:t>
            </w:r>
          </w:p>
        </w:tc>
        <w:tc>
          <w:tcPr>
            <w:tcW w:w="676" w:type="pct"/>
            <w:vAlign w:val="bottom"/>
          </w:tcPr>
          <w:p w:rsidR="00F621A1" w:rsidRPr="008C495B" w:rsidRDefault="00F621A1" w:rsidP="001340DA">
            <w:pPr>
              <w:jc w:val="right"/>
              <w:rPr>
                <w:color w:val="000000"/>
                <w:sz w:val="18"/>
                <w:szCs w:val="18"/>
              </w:rPr>
            </w:pPr>
            <w:r w:rsidRPr="008C495B">
              <w:rPr>
                <w:color w:val="000000"/>
                <w:sz w:val="18"/>
                <w:szCs w:val="18"/>
              </w:rPr>
              <w:t>1.019.458</w:t>
            </w:r>
          </w:p>
        </w:tc>
        <w:tc>
          <w:tcPr>
            <w:tcW w:w="653" w:type="pct"/>
            <w:vAlign w:val="bottom"/>
          </w:tcPr>
          <w:p w:rsidR="00F621A1" w:rsidRPr="008C495B" w:rsidRDefault="00F621A1" w:rsidP="001340DA">
            <w:pPr>
              <w:jc w:val="right"/>
              <w:rPr>
                <w:color w:val="000000"/>
                <w:sz w:val="18"/>
                <w:szCs w:val="18"/>
              </w:rPr>
            </w:pPr>
            <w:r w:rsidRPr="008C495B">
              <w:rPr>
                <w:color w:val="000000"/>
                <w:sz w:val="18"/>
                <w:szCs w:val="18"/>
              </w:rPr>
              <w:t>1.637.512</w:t>
            </w:r>
          </w:p>
        </w:tc>
        <w:tc>
          <w:tcPr>
            <w:tcW w:w="668" w:type="pct"/>
            <w:vAlign w:val="bottom"/>
          </w:tcPr>
          <w:p w:rsidR="00F621A1" w:rsidRPr="008C495B" w:rsidRDefault="00F621A1" w:rsidP="001340DA">
            <w:pPr>
              <w:jc w:val="right"/>
              <w:rPr>
                <w:color w:val="000000"/>
                <w:sz w:val="18"/>
                <w:szCs w:val="18"/>
              </w:rPr>
            </w:pPr>
            <w:r>
              <w:rPr>
                <w:color w:val="000000"/>
                <w:sz w:val="18"/>
                <w:szCs w:val="18"/>
              </w:rPr>
              <w:t>1.824.063</w:t>
            </w:r>
          </w:p>
        </w:tc>
        <w:tc>
          <w:tcPr>
            <w:tcW w:w="690" w:type="pct"/>
            <w:vAlign w:val="bottom"/>
          </w:tcPr>
          <w:p w:rsidR="00F621A1" w:rsidRPr="008C495B" w:rsidRDefault="00F621A1" w:rsidP="001340DA">
            <w:pPr>
              <w:jc w:val="right"/>
              <w:rPr>
                <w:color w:val="000000"/>
                <w:sz w:val="18"/>
                <w:szCs w:val="18"/>
              </w:rPr>
            </w:pPr>
            <w:r>
              <w:rPr>
                <w:color w:val="000000"/>
                <w:sz w:val="18"/>
                <w:szCs w:val="18"/>
              </w:rPr>
              <w:t>2.060.248</w:t>
            </w:r>
          </w:p>
        </w:tc>
      </w:tr>
      <w:tr w:rsidR="00F621A1" w:rsidRPr="008C495B" w:rsidTr="00F621A1">
        <w:trPr>
          <w:trHeight w:val="170"/>
          <w:jc w:val="center"/>
        </w:trPr>
        <w:tc>
          <w:tcPr>
            <w:tcW w:w="1679" w:type="pct"/>
            <w:shd w:val="clear" w:color="auto" w:fill="auto"/>
            <w:noWrap/>
            <w:vAlign w:val="bottom"/>
          </w:tcPr>
          <w:p w:rsidR="00F621A1" w:rsidRPr="00057EBE" w:rsidRDefault="00F621A1" w:rsidP="001340DA">
            <w:pPr>
              <w:spacing w:line="280" w:lineRule="atLeast"/>
              <w:rPr>
                <w:i/>
                <w:sz w:val="18"/>
                <w:szCs w:val="18"/>
              </w:rPr>
            </w:pPr>
            <w:r w:rsidRPr="00057EBE">
              <w:rPr>
                <w:i/>
                <w:sz w:val="18"/>
                <w:szCs w:val="18"/>
              </w:rPr>
              <w:t xml:space="preserve">    TGA Oranı </w:t>
            </w:r>
          </w:p>
        </w:tc>
        <w:tc>
          <w:tcPr>
            <w:tcW w:w="634" w:type="pct"/>
            <w:shd w:val="clear" w:color="auto" w:fill="auto"/>
            <w:vAlign w:val="bottom"/>
          </w:tcPr>
          <w:p w:rsidR="00F621A1" w:rsidRPr="00057EBE" w:rsidRDefault="00F621A1" w:rsidP="001340DA">
            <w:pPr>
              <w:jc w:val="right"/>
              <w:rPr>
                <w:i/>
                <w:color w:val="000000"/>
                <w:sz w:val="18"/>
                <w:szCs w:val="18"/>
              </w:rPr>
            </w:pPr>
            <w:r>
              <w:rPr>
                <w:i/>
                <w:color w:val="000000"/>
                <w:sz w:val="18"/>
                <w:szCs w:val="18"/>
              </w:rPr>
              <w:t>6,5</w:t>
            </w:r>
          </w:p>
        </w:tc>
        <w:tc>
          <w:tcPr>
            <w:tcW w:w="676" w:type="pct"/>
            <w:shd w:val="clear" w:color="auto" w:fill="auto"/>
            <w:vAlign w:val="bottom"/>
          </w:tcPr>
          <w:p w:rsidR="00F621A1" w:rsidRPr="00057EBE" w:rsidRDefault="00F621A1" w:rsidP="001340DA">
            <w:pPr>
              <w:jc w:val="right"/>
              <w:rPr>
                <w:i/>
                <w:color w:val="000000"/>
                <w:sz w:val="18"/>
                <w:szCs w:val="18"/>
              </w:rPr>
            </w:pPr>
            <w:r w:rsidRPr="00057EBE">
              <w:rPr>
                <w:i/>
                <w:color w:val="000000"/>
                <w:sz w:val="18"/>
                <w:szCs w:val="18"/>
              </w:rPr>
              <w:t>8,2</w:t>
            </w:r>
          </w:p>
        </w:tc>
        <w:tc>
          <w:tcPr>
            <w:tcW w:w="653" w:type="pct"/>
            <w:shd w:val="clear" w:color="auto" w:fill="auto"/>
            <w:vAlign w:val="bottom"/>
          </w:tcPr>
          <w:p w:rsidR="00F621A1" w:rsidRPr="00057EBE" w:rsidRDefault="00F621A1" w:rsidP="001340DA">
            <w:pPr>
              <w:jc w:val="right"/>
              <w:rPr>
                <w:i/>
                <w:color w:val="000000"/>
                <w:sz w:val="18"/>
                <w:szCs w:val="18"/>
              </w:rPr>
            </w:pPr>
            <w:r w:rsidRPr="00057EBE">
              <w:rPr>
                <w:i/>
                <w:color w:val="000000"/>
                <w:sz w:val="18"/>
                <w:szCs w:val="18"/>
              </w:rPr>
              <w:t>9,6</w:t>
            </w:r>
          </w:p>
        </w:tc>
        <w:tc>
          <w:tcPr>
            <w:tcW w:w="668" w:type="pct"/>
            <w:shd w:val="clear" w:color="auto" w:fill="auto"/>
            <w:vAlign w:val="bottom"/>
          </w:tcPr>
          <w:p w:rsidR="00F621A1" w:rsidRPr="00057EBE" w:rsidRDefault="00F621A1" w:rsidP="001340DA">
            <w:pPr>
              <w:jc w:val="right"/>
              <w:rPr>
                <w:i/>
                <w:color w:val="000000"/>
                <w:sz w:val="18"/>
                <w:szCs w:val="18"/>
              </w:rPr>
            </w:pPr>
            <w:r w:rsidRPr="00057EBE">
              <w:rPr>
                <w:i/>
                <w:color w:val="000000"/>
                <w:sz w:val="18"/>
                <w:szCs w:val="18"/>
              </w:rPr>
              <w:t>10,8</w:t>
            </w:r>
          </w:p>
        </w:tc>
        <w:tc>
          <w:tcPr>
            <w:tcW w:w="690" w:type="pct"/>
            <w:shd w:val="clear" w:color="auto" w:fill="auto"/>
            <w:vAlign w:val="bottom"/>
          </w:tcPr>
          <w:p w:rsidR="00F621A1" w:rsidRPr="00057EBE" w:rsidRDefault="00F621A1" w:rsidP="001340DA">
            <w:pPr>
              <w:jc w:val="right"/>
              <w:rPr>
                <w:i/>
                <w:color w:val="000000"/>
                <w:sz w:val="18"/>
                <w:szCs w:val="18"/>
              </w:rPr>
            </w:pPr>
            <w:r w:rsidRPr="00057EBE">
              <w:rPr>
                <w:i/>
                <w:color w:val="000000"/>
                <w:sz w:val="18"/>
                <w:szCs w:val="18"/>
              </w:rPr>
              <w:t>14,8</w:t>
            </w:r>
          </w:p>
        </w:tc>
      </w:tr>
      <w:tr w:rsidR="00F621A1" w:rsidRPr="008C495B" w:rsidTr="00F621A1">
        <w:trPr>
          <w:trHeight w:val="170"/>
          <w:jc w:val="center"/>
        </w:trPr>
        <w:tc>
          <w:tcPr>
            <w:tcW w:w="1679" w:type="pct"/>
            <w:noWrap/>
            <w:vAlign w:val="bottom"/>
          </w:tcPr>
          <w:p w:rsidR="00F621A1" w:rsidRPr="008C495B" w:rsidRDefault="00F621A1" w:rsidP="001340DA">
            <w:pPr>
              <w:spacing w:line="280" w:lineRule="atLeast"/>
              <w:rPr>
                <w:rFonts w:eastAsia="MS Mincho"/>
                <w:sz w:val="18"/>
                <w:szCs w:val="18"/>
                <w:lang w:eastAsia="ja-JP"/>
              </w:rPr>
            </w:pPr>
            <w:r w:rsidRPr="008C495B">
              <w:rPr>
                <w:sz w:val="18"/>
                <w:szCs w:val="18"/>
              </w:rPr>
              <w:t>Toplam Borçlanma</w:t>
            </w:r>
          </w:p>
        </w:tc>
        <w:tc>
          <w:tcPr>
            <w:tcW w:w="634" w:type="pct"/>
            <w:vAlign w:val="bottom"/>
          </w:tcPr>
          <w:p w:rsidR="00F621A1" w:rsidRPr="008C495B" w:rsidRDefault="00F621A1" w:rsidP="001340DA">
            <w:pPr>
              <w:jc w:val="right"/>
              <w:rPr>
                <w:color w:val="000000"/>
                <w:sz w:val="18"/>
                <w:szCs w:val="18"/>
              </w:rPr>
            </w:pPr>
            <w:r w:rsidRPr="008C495B">
              <w:rPr>
                <w:color w:val="000000"/>
                <w:sz w:val="18"/>
                <w:szCs w:val="18"/>
              </w:rPr>
              <w:t>789.100</w:t>
            </w:r>
          </w:p>
        </w:tc>
        <w:tc>
          <w:tcPr>
            <w:tcW w:w="676" w:type="pct"/>
            <w:vAlign w:val="bottom"/>
          </w:tcPr>
          <w:p w:rsidR="00F621A1" w:rsidRPr="008C495B" w:rsidRDefault="00F621A1" w:rsidP="001340DA">
            <w:pPr>
              <w:jc w:val="right"/>
              <w:rPr>
                <w:color w:val="000000"/>
                <w:sz w:val="18"/>
                <w:szCs w:val="18"/>
              </w:rPr>
            </w:pPr>
            <w:r w:rsidRPr="008C495B">
              <w:rPr>
                <w:color w:val="000000"/>
                <w:sz w:val="18"/>
                <w:szCs w:val="18"/>
              </w:rPr>
              <w:t>978.157</w:t>
            </w:r>
          </w:p>
        </w:tc>
        <w:tc>
          <w:tcPr>
            <w:tcW w:w="653" w:type="pct"/>
            <w:vAlign w:val="bottom"/>
          </w:tcPr>
          <w:p w:rsidR="00F621A1" w:rsidRPr="008C495B" w:rsidRDefault="00F621A1" w:rsidP="001340DA">
            <w:pPr>
              <w:jc w:val="right"/>
              <w:rPr>
                <w:color w:val="000000"/>
                <w:sz w:val="18"/>
                <w:szCs w:val="18"/>
              </w:rPr>
            </w:pPr>
            <w:r w:rsidRPr="008C495B">
              <w:rPr>
                <w:color w:val="000000"/>
                <w:sz w:val="18"/>
                <w:szCs w:val="18"/>
              </w:rPr>
              <w:t>1.666.339</w:t>
            </w:r>
          </w:p>
        </w:tc>
        <w:tc>
          <w:tcPr>
            <w:tcW w:w="668" w:type="pct"/>
            <w:vAlign w:val="bottom"/>
          </w:tcPr>
          <w:p w:rsidR="00F621A1" w:rsidRPr="008C495B" w:rsidRDefault="00F621A1" w:rsidP="001340DA">
            <w:pPr>
              <w:jc w:val="right"/>
              <w:rPr>
                <w:color w:val="000000"/>
                <w:sz w:val="18"/>
                <w:szCs w:val="18"/>
              </w:rPr>
            </w:pPr>
            <w:r>
              <w:rPr>
                <w:color w:val="000000"/>
                <w:sz w:val="18"/>
                <w:szCs w:val="18"/>
              </w:rPr>
              <w:t>1.717.729</w:t>
            </w:r>
          </w:p>
        </w:tc>
        <w:tc>
          <w:tcPr>
            <w:tcW w:w="690" w:type="pct"/>
            <w:vAlign w:val="bottom"/>
          </w:tcPr>
          <w:p w:rsidR="00F621A1" w:rsidRPr="008C495B" w:rsidRDefault="00F621A1" w:rsidP="001340DA">
            <w:pPr>
              <w:jc w:val="right"/>
              <w:rPr>
                <w:color w:val="000000"/>
                <w:sz w:val="18"/>
                <w:szCs w:val="18"/>
              </w:rPr>
            </w:pPr>
            <w:r>
              <w:rPr>
                <w:color w:val="000000"/>
                <w:sz w:val="18"/>
                <w:szCs w:val="18"/>
              </w:rPr>
              <w:t>2.027.868</w:t>
            </w:r>
          </w:p>
        </w:tc>
      </w:tr>
      <w:tr w:rsidR="00F621A1" w:rsidRPr="008C495B" w:rsidTr="00F621A1">
        <w:trPr>
          <w:trHeight w:val="170"/>
          <w:jc w:val="center"/>
        </w:trPr>
        <w:tc>
          <w:tcPr>
            <w:tcW w:w="1679" w:type="pct"/>
            <w:noWrap/>
            <w:vAlign w:val="bottom"/>
          </w:tcPr>
          <w:p w:rsidR="00F621A1" w:rsidRPr="008C495B" w:rsidRDefault="00F621A1" w:rsidP="001340DA">
            <w:pPr>
              <w:spacing w:line="280" w:lineRule="atLeast"/>
              <w:rPr>
                <w:rFonts w:eastAsia="MS Mincho"/>
                <w:sz w:val="18"/>
                <w:szCs w:val="18"/>
                <w:lang w:eastAsia="ja-JP"/>
              </w:rPr>
            </w:pPr>
            <w:proofErr w:type="spellStart"/>
            <w:r w:rsidRPr="008C495B">
              <w:rPr>
                <w:sz w:val="18"/>
                <w:szCs w:val="18"/>
              </w:rPr>
              <w:t>Özkaynak</w:t>
            </w:r>
            <w:proofErr w:type="spellEnd"/>
          </w:p>
        </w:tc>
        <w:tc>
          <w:tcPr>
            <w:tcW w:w="634" w:type="pct"/>
            <w:vAlign w:val="bottom"/>
          </w:tcPr>
          <w:p w:rsidR="00F621A1" w:rsidRPr="008C495B" w:rsidRDefault="00F621A1" w:rsidP="001340DA">
            <w:pPr>
              <w:jc w:val="right"/>
              <w:rPr>
                <w:color w:val="000000"/>
                <w:sz w:val="18"/>
                <w:szCs w:val="18"/>
              </w:rPr>
            </w:pPr>
            <w:r w:rsidRPr="008C495B">
              <w:rPr>
                <w:color w:val="000000"/>
                <w:sz w:val="18"/>
                <w:szCs w:val="18"/>
              </w:rPr>
              <w:t>120.020</w:t>
            </w:r>
          </w:p>
        </w:tc>
        <w:tc>
          <w:tcPr>
            <w:tcW w:w="676" w:type="pct"/>
            <w:vAlign w:val="bottom"/>
          </w:tcPr>
          <w:p w:rsidR="00F621A1" w:rsidRPr="008C495B" w:rsidRDefault="00F621A1" w:rsidP="001340DA">
            <w:pPr>
              <w:jc w:val="right"/>
              <w:rPr>
                <w:color w:val="000000"/>
                <w:sz w:val="18"/>
                <w:szCs w:val="18"/>
              </w:rPr>
            </w:pPr>
            <w:r w:rsidRPr="008C495B">
              <w:rPr>
                <w:color w:val="000000"/>
                <w:sz w:val="18"/>
                <w:szCs w:val="18"/>
              </w:rPr>
              <w:t>142.138</w:t>
            </w:r>
          </w:p>
        </w:tc>
        <w:tc>
          <w:tcPr>
            <w:tcW w:w="653" w:type="pct"/>
            <w:vAlign w:val="bottom"/>
          </w:tcPr>
          <w:p w:rsidR="00F621A1" w:rsidRPr="008C495B" w:rsidRDefault="00F621A1" w:rsidP="001340DA">
            <w:pPr>
              <w:jc w:val="right"/>
              <w:rPr>
                <w:color w:val="000000"/>
                <w:sz w:val="18"/>
                <w:szCs w:val="18"/>
              </w:rPr>
            </w:pPr>
            <w:r>
              <w:rPr>
                <w:color w:val="000000"/>
                <w:sz w:val="18"/>
                <w:szCs w:val="18"/>
              </w:rPr>
              <w:t>293.693</w:t>
            </w:r>
          </w:p>
        </w:tc>
        <w:tc>
          <w:tcPr>
            <w:tcW w:w="668" w:type="pct"/>
            <w:vAlign w:val="bottom"/>
          </w:tcPr>
          <w:p w:rsidR="00F621A1" w:rsidRPr="008C495B" w:rsidRDefault="00F621A1" w:rsidP="001340DA">
            <w:pPr>
              <w:jc w:val="right"/>
              <w:rPr>
                <w:color w:val="000000"/>
                <w:sz w:val="18"/>
                <w:szCs w:val="18"/>
              </w:rPr>
            </w:pPr>
            <w:r>
              <w:rPr>
                <w:color w:val="000000"/>
                <w:sz w:val="18"/>
                <w:szCs w:val="18"/>
              </w:rPr>
              <w:t>298.825</w:t>
            </w:r>
          </w:p>
        </w:tc>
        <w:tc>
          <w:tcPr>
            <w:tcW w:w="690" w:type="pct"/>
            <w:vAlign w:val="bottom"/>
          </w:tcPr>
          <w:p w:rsidR="00F621A1" w:rsidRPr="008C495B" w:rsidRDefault="00F621A1" w:rsidP="001340DA">
            <w:pPr>
              <w:jc w:val="right"/>
              <w:rPr>
                <w:color w:val="000000"/>
                <w:sz w:val="18"/>
                <w:szCs w:val="18"/>
              </w:rPr>
            </w:pPr>
            <w:r>
              <w:rPr>
                <w:color w:val="000000"/>
                <w:sz w:val="18"/>
                <w:szCs w:val="18"/>
              </w:rPr>
              <w:t>305.059</w:t>
            </w:r>
          </w:p>
        </w:tc>
      </w:tr>
      <w:tr w:rsidR="00F621A1" w:rsidRPr="008C495B" w:rsidTr="00F621A1">
        <w:trPr>
          <w:trHeight w:val="170"/>
          <w:jc w:val="center"/>
        </w:trPr>
        <w:tc>
          <w:tcPr>
            <w:tcW w:w="1679" w:type="pct"/>
            <w:noWrap/>
            <w:vAlign w:val="bottom"/>
          </w:tcPr>
          <w:p w:rsidR="00F621A1" w:rsidRPr="008C495B" w:rsidRDefault="00F621A1" w:rsidP="001340DA">
            <w:pPr>
              <w:spacing w:line="280" w:lineRule="atLeast"/>
              <w:rPr>
                <w:rFonts w:eastAsia="MS Mincho"/>
                <w:i/>
                <w:sz w:val="18"/>
                <w:szCs w:val="18"/>
                <w:lang w:eastAsia="ja-JP"/>
              </w:rPr>
            </w:pPr>
            <w:r>
              <w:rPr>
                <w:i/>
                <w:sz w:val="18"/>
                <w:szCs w:val="18"/>
              </w:rPr>
              <w:t xml:space="preserve">    </w:t>
            </w:r>
            <w:proofErr w:type="spellStart"/>
            <w:r w:rsidRPr="008C495B">
              <w:rPr>
                <w:i/>
                <w:sz w:val="18"/>
                <w:szCs w:val="18"/>
              </w:rPr>
              <w:t>Özkaynak</w:t>
            </w:r>
            <w:proofErr w:type="spellEnd"/>
            <w:r w:rsidRPr="008C495B">
              <w:rPr>
                <w:i/>
                <w:sz w:val="18"/>
                <w:szCs w:val="18"/>
              </w:rPr>
              <w:t xml:space="preserve"> /  Aktif Toplamı (%)</w:t>
            </w:r>
          </w:p>
        </w:tc>
        <w:tc>
          <w:tcPr>
            <w:tcW w:w="634" w:type="pct"/>
            <w:vAlign w:val="bottom"/>
          </w:tcPr>
          <w:p w:rsidR="00F621A1" w:rsidRPr="008C495B" w:rsidRDefault="00F621A1" w:rsidP="001340DA">
            <w:pPr>
              <w:jc w:val="right"/>
              <w:rPr>
                <w:i/>
                <w:color w:val="000000"/>
                <w:sz w:val="18"/>
                <w:szCs w:val="18"/>
              </w:rPr>
            </w:pPr>
            <w:r>
              <w:rPr>
                <w:i/>
                <w:color w:val="000000"/>
                <w:sz w:val="18"/>
                <w:szCs w:val="18"/>
              </w:rPr>
              <w:t>12,8</w:t>
            </w:r>
          </w:p>
        </w:tc>
        <w:tc>
          <w:tcPr>
            <w:tcW w:w="676" w:type="pct"/>
            <w:vAlign w:val="bottom"/>
          </w:tcPr>
          <w:p w:rsidR="00F621A1" w:rsidRPr="008C495B" w:rsidRDefault="00F621A1" w:rsidP="001340DA">
            <w:pPr>
              <w:jc w:val="right"/>
              <w:rPr>
                <w:i/>
                <w:color w:val="000000"/>
                <w:sz w:val="18"/>
                <w:szCs w:val="18"/>
              </w:rPr>
            </w:pPr>
            <w:r w:rsidRPr="008C495B">
              <w:rPr>
                <w:i/>
                <w:color w:val="000000"/>
                <w:sz w:val="18"/>
                <w:szCs w:val="18"/>
              </w:rPr>
              <w:t>12,1</w:t>
            </w:r>
          </w:p>
        </w:tc>
        <w:tc>
          <w:tcPr>
            <w:tcW w:w="653" w:type="pct"/>
            <w:vAlign w:val="bottom"/>
          </w:tcPr>
          <w:p w:rsidR="00F621A1" w:rsidRPr="008C495B" w:rsidRDefault="00F621A1" w:rsidP="001340DA">
            <w:pPr>
              <w:jc w:val="right"/>
              <w:rPr>
                <w:i/>
                <w:color w:val="000000"/>
                <w:sz w:val="18"/>
                <w:szCs w:val="18"/>
              </w:rPr>
            </w:pPr>
            <w:r w:rsidRPr="008C495B">
              <w:rPr>
                <w:i/>
                <w:color w:val="000000"/>
                <w:sz w:val="18"/>
                <w:szCs w:val="18"/>
              </w:rPr>
              <w:t>14,5</w:t>
            </w:r>
          </w:p>
        </w:tc>
        <w:tc>
          <w:tcPr>
            <w:tcW w:w="668" w:type="pct"/>
            <w:vAlign w:val="bottom"/>
          </w:tcPr>
          <w:p w:rsidR="00F621A1" w:rsidRPr="008C495B" w:rsidRDefault="00F621A1" w:rsidP="001340DA">
            <w:pPr>
              <w:jc w:val="right"/>
              <w:rPr>
                <w:i/>
                <w:color w:val="000000"/>
                <w:sz w:val="18"/>
                <w:szCs w:val="18"/>
              </w:rPr>
            </w:pPr>
            <w:r>
              <w:rPr>
                <w:i/>
                <w:color w:val="000000"/>
                <w:sz w:val="18"/>
                <w:szCs w:val="18"/>
              </w:rPr>
              <w:t>14,6</w:t>
            </w:r>
          </w:p>
        </w:tc>
        <w:tc>
          <w:tcPr>
            <w:tcW w:w="690" w:type="pct"/>
            <w:vAlign w:val="bottom"/>
          </w:tcPr>
          <w:p w:rsidR="00F621A1" w:rsidRPr="008C495B" w:rsidRDefault="00F621A1" w:rsidP="001340DA">
            <w:pPr>
              <w:jc w:val="right"/>
              <w:rPr>
                <w:i/>
                <w:color w:val="000000"/>
                <w:sz w:val="18"/>
                <w:szCs w:val="18"/>
              </w:rPr>
            </w:pPr>
            <w:r>
              <w:rPr>
                <w:i/>
                <w:color w:val="000000"/>
                <w:sz w:val="18"/>
                <w:szCs w:val="18"/>
              </w:rPr>
              <w:t>12,8</w:t>
            </w:r>
          </w:p>
        </w:tc>
      </w:tr>
      <w:tr w:rsidR="00F621A1" w:rsidRPr="008C495B" w:rsidTr="00F621A1">
        <w:trPr>
          <w:trHeight w:val="170"/>
          <w:jc w:val="center"/>
        </w:trPr>
        <w:tc>
          <w:tcPr>
            <w:tcW w:w="1679" w:type="pct"/>
            <w:noWrap/>
            <w:vAlign w:val="bottom"/>
          </w:tcPr>
          <w:p w:rsidR="00F621A1" w:rsidRPr="008C495B" w:rsidRDefault="00F621A1" w:rsidP="001340DA">
            <w:pPr>
              <w:spacing w:line="280" w:lineRule="atLeast"/>
              <w:rPr>
                <w:sz w:val="18"/>
                <w:szCs w:val="18"/>
              </w:rPr>
            </w:pPr>
            <w:r w:rsidRPr="008C495B">
              <w:rPr>
                <w:sz w:val="18"/>
                <w:szCs w:val="18"/>
              </w:rPr>
              <w:t>Leasing Gelirleri</w:t>
            </w:r>
          </w:p>
        </w:tc>
        <w:tc>
          <w:tcPr>
            <w:tcW w:w="634" w:type="pct"/>
            <w:vAlign w:val="bottom"/>
          </w:tcPr>
          <w:p w:rsidR="00F621A1" w:rsidRPr="008C495B" w:rsidRDefault="00F621A1" w:rsidP="001340DA">
            <w:pPr>
              <w:jc w:val="right"/>
              <w:rPr>
                <w:color w:val="000000"/>
                <w:sz w:val="18"/>
                <w:szCs w:val="18"/>
              </w:rPr>
            </w:pPr>
            <w:r w:rsidRPr="008C495B">
              <w:rPr>
                <w:color w:val="000000"/>
                <w:sz w:val="18"/>
                <w:szCs w:val="18"/>
              </w:rPr>
              <w:t>56.855</w:t>
            </w:r>
          </w:p>
        </w:tc>
        <w:tc>
          <w:tcPr>
            <w:tcW w:w="676" w:type="pct"/>
            <w:vAlign w:val="bottom"/>
          </w:tcPr>
          <w:p w:rsidR="00F621A1" w:rsidRPr="008C495B" w:rsidRDefault="00F621A1" w:rsidP="001340DA">
            <w:pPr>
              <w:jc w:val="right"/>
              <w:rPr>
                <w:color w:val="000000"/>
                <w:sz w:val="18"/>
                <w:szCs w:val="18"/>
              </w:rPr>
            </w:pPr>
            <w:r w:rsidRPr="008C495B">
              <w:rPr>
                <w:color w:val="000000"/>
                <w:sz w:val="18"/>
                <w:szCs w:val="18"/>
              </w:rPr>
              <w:t>80.804</w:t>
            </w:r>
          </w:p>
        </w:tc>
        <w:tc>
          <w:tcPr>
            <w:tcW w:w="653" w:type="pct"/>
            <w:vAlign w:val="bottom"/>
          </w:tcPr>
          <w:p w:rsidR="00F621A1" w:rsidRPr="008C495B" w:rsidRDefault="00F621A1" w:rsidP="001340DA">
            <w:pPr>
              <w:jc w:val="right"/>
              <w:rPr>
                <w:color w:val="000000"/>
                <w:sz w:val="18"/>
                <w:szCs w:val="18"/>
              </w:rPr>
            </w:pPr>
            <w:r w:rsidRPr="008C495B">
              <w:rPr>
                <w:color w:val="000000"/>
                <w:sz w:val="18"/>
                <w:szCs w:val="18"/>
              </w:rPr>
              <w:t>104.610</w:t>
            </w:r>
          </w:p>
        </w:tc>
        <w:tc>
          <w:tcPr>
            <w:tcW w:w="668" w:type="pct"/>
            <w:vAlign w:val="bottom"/>
          </w:tcPr>
          <w:p w:rsidR="00F621A1" w:rsidRPr="008C495B" w:rsidRDefault="00F621A1" w:rsidP="001340DA">
            <w:pPr>
              <w:jc w:val="right"/>
              <w:rPr>
                <w:color w:val="000000"/>
                <w:sz w:val="18"/>
                <w:szCs w:val="18"/>
              </w:rPr>
            </w:pPr>
            <w:r>
              <w:rPr>
                <w:color w:val="000000"/>
                <w:sz w:val="18"/>
                <w:szCs w:val="18"/>
              </w:rPr>
              <w:t>120.557</w:t>
            </w:r>
          </w:p>
        </w:tc>
        <w:tc>
          <w:tcPr>
            <w:tcW w:w="690" w:type="pct"/>
            <w:vAlign w:val="bottom"/>
          </w:tcPr>
          <w:p w:rsidR="00F621A1" w:rsidRPr="008C495B" w:rsidRDefault="00F621A1" w:rsidP="001340DA">
            <w:pPr>
              <w:jc w:val="right"/>
              <w:rPr>
                <w:color w:val="000000"/>
                <w:sz w:val="18"/>
                <w:szCs w:val="18"/>
              </w:rPr>
            </w:pPr>
            <w:r>
              <w:rPr>
                <w:color w:val="000000"/>
                <w:sz w:val="18"/>
                <w:szCs w:val="18"/>
              </w:rPr>
              <w:t>139.854</w:t>
            </w:r>
          </w:p>
        </w:tc>
      </w:tr>
      <w:tr w:rsidR="00F621A1" w:rsidRPr="008C495B" w:rsidTr="00F621A1">
        <w:trPr>
          <w:trHeight w:val="170"/>
          <w:jc w:val="center"/>
        </w:trPr>
        <w:tc>
          <w:tcPr>
            <w:tcW w:w="1679" w:type="pct"/>
            <w:noWrap/>
            <w:vAlign w:val="bottom"/>
          </w:tcPr>
          <w:p w:rsidR="00F621A1" w:rsidRPr="008C495B" w:rsidRDefault="00F621A1" w:rsidP="001340DA">
            <w:pPr>
              <w:spacing w:line="280" w:lineRule="atLeast"/>
              <w:rPr>
                <w:rFonts w:eastAsia="MS Mincho"/>
                <w:b/>
                <w:sz w:val="18"/>
                <w:szCs w:val="18"/>
                <w:lang w:eastAsia="ja-JP"/>
              </w:rPr>
            </w:pPr>
            <w:r w:rsidRPr="008C495B">
              <w:rPr>
                <w:b/>
                <w:sz w:val="18"/>
                <w:szCs w:val="18"/>
              </w:rPr>
              <w:t>Net Leasing Gelirleri*</w:t>
            </w:r>
          </w:p>
        </w:tc>
        <w:tc>
          <w:tcPr>
            <w:tcW w:w="634" w:type="pct"/>
            <w:vAlign w:val="bottom"/>
          </w:tcPr>
          <w:p w:rsidR="00F621A1" w:rsidRPr="008C495B" w:rsidRDefault="00F621A1" w:rsidP="001340DA">
            <w:pPr>
              <w:jc w:val="right"/>
              <w:rPr>
                <w:b/>
                <w:color w:val="000000"/>
                <w:sz w:val="18"/>
                <w:szCs w:val="18"/>
              </w:rPr>
            </w:pPr>
            <w:r>
              <w:rPr>
                <w:b/>
                <w:color w:val="000000"/>
                <w:sz w:val="18"/>
                <w:szCs w:val="18"/>
              </w:rPr>
              <w:t>23.955</w:t>
            </w:r>
          </w:p>
        </w:tc>
        <w:tc>
          <w:tcPr>
            <w:tcW w:w="676" w:type="pct"/>
            <w:vAlign w:val="bottom"/>
          </w:tcPr>
          <w:p w:rsidR="00F621A1" w:rsidRPr="008C495B" w:rsidRDefault="00F621A1" w:rsidP="001340DA">
            <w:pPr>
              <w:jc w:val="right"/>
              <w:rPr>
                <w:b/>
                <w:color w:val="000000"/>
                <w:sz w:val="18"/>
                <w:szCs w:val="18"/>
              </w:rPr>
            </w:pPr>
            <w:r w:rsidRPr="008C495B">
              <w:rPr>
                <w:b/>
                <w:color w:val="000000"/>
                <w:sz w:val="18"/>
                <w:szCs w:val="18"/>
              </w:rPr>
              <w:t>20.629</w:t>
            </w:r>
          </w:p>
        </w:tc>
        <w:tc>
          <w:tcPr>
            <w:tcW w:w="653" w:type="pct"/>
            <w:vAlign w:val="bottom"/>
          </w:tcPr>
          <w:p w:rsidR="00F621A1" w:rsidRPr="008C495B" w:rsidRDefault="00F621A1" w:rsidP="001340DA">
            <w:pPr>
              <w:jc w:val="right"/>
              <w:rPr>
                <w:b/>
                <w:color w:val="000000"/>
                <w:sz w:val="18"/>
                <w:szCs w:val="18"/>
              </w:rPr>
            </w:pPr>
            <w:r>
              <w:rPr>
                <w:b/>
                <w:color w:val="000000"/>
                <w:sz w:val="18"/>
                <w:szCs w:val="18"/>
              </w:rPr>
              <w:t>22.507</w:t>
            </w:r>
          </w:p>
        </w:tc>
        <w:tc>
          <w:tcPr>
            <w:tcW w:w="668" w:type="pct"/>
            <w:vAlign w:val="bottom"/>
          </w:tcPr>
          <w:p w:rsidR="00F621A1" w:rsidRPr="008C495B" w:rsidRDefault="00F621A1" w:rsidP="001340DA">
            <w:pPr>
              <w:jc w:val="right"/>
              <w:rPr>
                <w:b/>
                <w:color w:val="000000"/>
                <w:sz w:val="18"/>
                <w:szCs w:val="18"/>
              </w:rPr>
            </w:pPr>
            <w:r>
              <w:rPr>
                <w:b/>
                <w:color w:val="000000"/>
                <w:sz w:val="18"/>
                <w:szCs w:val="18"/>
              </w:rPr>
              <w:t>-2.776</w:t>
            </w:r>
          </w:p>
        </w:tc>
        <w:tc>
          <w:tcPr>
            <w:tcW w:w="690" w:type="pct"/>
            <w:vAlign w:val="bottom"/>
          </w:tcPr>
          <w:p w:rsidR="00F621A1" w:rsidRPr="008C495B" w:rsidRDefault="00F621A1" w:rsidP="001340DA">
            <w:pPr>
              <w:jc w:val="right"/>
              <w:rPr>
                <w:b/>
                <w:color w:val="000000"/>
                <w:sz w:val="18"/>
                <w:szCs w:val="18"/>
              </w:rPr>
            </w:pPr>
            <w:r>
              <w:rPr>
                <w:b/>
                <w:color w:val="000000"/>
                <w:sz w:val="18"/>
                <w:szCs w:val="18"/>
              </w:rPr>
              <w:t>11.104</w:t>
            </w:r>
          </w:p>
        </w:tc>
      </w:tr>
      <w:tr w:rsidR="00F621A1" w:rsidRPr="008C495B" w:rsidTr="00F621A1">
        <w:trPr>
          <w:trHeight w:val="170"/>
          <w:jc w:val="center"/>
        </w:trPr>
        <w:tc>
          <w:tcPr>
            <w:tcW w:w="1679" w:type="pct"/>
            <w:noWrap/>
            <w:vAlign w:val="bottom"/>
          </w:tcPr>
          <w:p w:rsidR="00F621A1" w:rsidRPr="008C495B" w:rsidRDefault="00F621A1" w:rsidP="001340DA">
            <w:pPr>
              <w:spacing w:line="280" w:lineRule="atLeast"/>
              <w:rPr>
                <w:rFonts w:eastAsia="MS Mincho"/>
                <w:i/>
                <w:sz w:val="18"/>
                <w:szCs w:val="18"/>
                <w:lang w:eastAsia="ja-JP"/>
              </w:rPr>
            </w:pPr>
            <w:r w:rsidRPr="008C495B">
              <w:rPr>
                <w:i/>
                <w:sz w:val="18"/>
                <w:szCs w:val="18"/>
              </w:rPr>
              <w:t xml:space="preserve">    Net Leasing Faiz Marjı (%)</w:t>
            </w:r>
          </w:p>
        </w:tc>
        <w:tc>
          <w:tcPr>
            <w:tcW w:w="634" w:type="pct"/>
            <w:vAlign w:val="bottom"/>
          </w:tcPr>
          <w:p w:rsidR="00F621A1" w:rsidRPr="008C495B" w:rsidRDefault="00F621A1" w:rsidP="001340DA">
            <w:pPr>
              <w:jc w:val="right"/>
              <w:rPr>
                <w:i/>
                <w:color w:val="000000"/>
                <w:sz w:val="18"/>
                <w:szCs w:val="18"/>
              </w:rPr>
            </w:pPr>
            <w:r>
              <w:rPr>
                <w:i/>
                <w:color w:val="000000"/>
                <w:sz w:val="18"/>
                <w:szCs w:val="18"/>
              </w:rPr>
              <w:t>4,3</w:t>
            </w:r>
          </w:p>
        </w:tc>
        <w:tc>
          <w:tcPr>
            <w:tcW w:w="676" w:type="pct"/>
            <w:vAlign w:val="bottom"/>
          </w:tcPr>
          <w:p w:rsidR="00F621A1" w:rsidRPr="008C495B" w:rsidRDefault="00F621A1" w:rsidP="001340DA">
            <w:pPr>
              <w:jc w:val="right"/>
              <w:rPr>
                <w:i/>
                <w:color w:val="000000"/>
                <w:sz w:val="18"/>
                <w:szCs w:val="18"/>
              </w:rPr>
            </w:pPr>
            <w:r>
              <w:rPr>
                <w:i/>
                <w:color w:val="000000"/>
                <w:sz w:val="18"/>
                <w:szCs w:val="18"/>
              </w:rPr>
              <w:t>3,8</w:t>
            </w:r>
          </w:p>
        </w:tc>
        <w:tc>
          <w:tcPr>
            <w:tcW w:w="653" w:type="pct"/>
            <w:vAlign w:val="bottom"/>
          </w:tcPr>
          <w:p w:rsidR="00F621A1" w:rsidRPr="008C495B" w:rsidRDefault="00F621A1" w:rsidP="001340DA">
            <w:pPr>
              <w:jc w:val="right"/>
              <w:rPr>
                <w:i/>
                <w:color w:val="000000"/>
                <w:sz w:val="18"/>
                <w:szCs w:val="18"/>
              </w:rPr>
            </w:pPr>
            <w:r w:rsidRPr="008C495B">
              <w:rPr>
                <w:i/>
                <w:color w:val="000000"/>
                <w:sz w:val="18"/>
                <w:szCs w:val="18"/>
              </w:rPr>
              <w:t>3,0</w:t>
            </w:r>
          </w:p>
        </w:tc>
        <w:tc>
          <w:tcPr>
            <w:tcW w:w="668" w:type="pct"/>
            <w:vAlign w:val="bottom"/>
          </w:tcPr>
          <w:p w:rsidR="00F621A1" w:rsidRPr="008C495B" w:rsidRDefault="00F621A1" w:rsidP="001340DA">
            <w:pPr>
              <w:jc w:val="right"/>
              <w:rPr>
                <w:i/>
                <w:color w:val="000000"/>
                <w:sz w:val="18"/>
                <w:szCs w:val="18"/>
              </w:rPr>
            </w:pPr>
            <w:r>
              <w:rPr>
                <w:i/>
                <w:color w:val="000000"/>
                <w:sz w:val="18"/>
                <w:szCs w:val="18"/>
              </w:rPr>
              <w:t>2,3</w:t>
            </w:r>
          </w:p>
        </w:tc>
        <w:tc>
          <w:tcPr>
            <w:tcW w:w="690" w:type="pct"/>
            <w:vAlign w:val="bottom"/>
          </w:tcPr>
          <w:p w:rsidR="00F621A1" w:rsidRPr="008C495B" w:rsidRDefault="00F621A1" w:rsidP="001340DA">
            <w:pPr>
              <w:jc w:val="right"/>
              <w:rPr>
                <w:i/>
                <w:color w:val="000000"/>
                <w:sz w:val="18"/>
                <w:szCs w:val="18"/>
              </w:rPr>
            </w:pPr>
            <w:r>
              <w:rPr>
                <w:i/>
                <w:color w:val="000000"/>
                <w:sz w:val="18"/>
                <w:szCs w:val="18"/>
              </w:rPr>
              <w:t>2,2</w:t>
            </w:r>
          </w:p>
        </w:tc>
      </w:tr>
      <w:tr w:rsidR="00F621A1" w:rsidRPr="008C495B" w:rsidTr="00F621A1">
        <w:trPr>
          <w:trHeight w:val="170"/>
          <w:jc w:val="center"/>
        </w:trPr>
        <w:tc>
          <w:tcPr>
            <w:tcW w:w="1679" w:type="pct"/>
            <w:tcBorders>
              <w:bottom w:val="nil"/>
            </w:tcBorders>
            <w:noWrap/>
            <w:vAlign w:val="bottom"/>
          </w:tcPr>
          <w:p w:rsidR="00F621A1" w:rsidRPr="008C495B" w:rsidRDefault="00F621A1" w:rsidP="001340DA">
            <w:pPr>
              <w:spacing w:line="280" w:lineRule="atLeast"/>
              <w:rPr>
                <w:b/>
                <w:sz w:val="18"/>
                <w:szCs w:val="18"/>
              </w:rPr>
            </w:pPr>
            <w:r w:rsidRPr="008C495B">
              <w:rPr>
                <w:b/>
                <w:sz w:val="18"/>
                <w:szCs w:val="18"/>
              </w:rPr>
              <w:t>Leasing Faaliyet Karı/Zararı</w:t>
            </w:r>
            <w:r>
              <w:rPr>
                <w:b/>
                <w:sz w:val="18"/>
                <w:szCs w:val="18"/>
              </w:rPr>
              <w:t>**</w:t>
            </w:r>
          </w:p>
        </w:tc>
        <w:tc>
          <w:tcPr>
            <w:tcW w:w="634" w:type="pct"/>
            <w:tcBorders>
              <w:bottom w:val="nil"/>
            </w:tcBorders>
            <w:vAlign w:val="bottom"/>
          </w:tcPr>
          <w:p w:rsidR="00F621A1" w:rsidRPr="008C495B" w:rsidRDefault="00F621A1" w:rsidP="001340DA">
            <w:pPr>
              <w:jc w:val="right"/>
              <w:rPr>
                <w:b/>
                <w:color w:val="000000"/>
                <w:sz w:val="18"/>
                <w:szCs w:val="18"/>
              </w:rPr>
            </w:pPr>
            <w:r>
              <w:rPr>
                <w:b/>
                <w:color w:val="000000"/>
                <w:sz w:val="18"/>
                <w:szCs w:val="18"/>
              </w:rPr>
              <w:t>15.857</w:t>
            </w:r>
          </w:p>
        </w:tc>
        <w:tc>
          <w:tcPr>
            <w:tcW w:w="676" w:type="pct"/>
            <w:tcBorders>
              <w:bottom w:val="nil"/>
            </w:tcBorders>
            <w:vAlign w:val="bottom"/>
          </w:tcPr>
          <w:p w:rsidR="00F621A1" w:rsidRPr="008C495B" w:rsidRDefault="00F621A1" w:rsidP="001340DA">
            <w:pPr>
              <w:jc w:val="right"/>
              <w:rPr>
                <w:b/>
                <w:color w:val="000000"/>
                <w:sz w:val="18"/>
                <w:szCs w:val="18"/>
              </w:rPr>
            </w:pPr>
            <w:r w:rsidRPr="008C495B">
              <w:rPr>
                <w:b/>
                <w:color w:val="000000"/>
                <w:sz w:val="18"/>
                <w:szCs w:val="18"/>
              </w:rPr>
              <w:t>10.311</w:t>
            </w:r>
          </w:p>
        </w:tc>
        <w:tc>
          <w:tcPr>
            <w:tcW w:w="653" w:type="pct"/>
            <w:tcBorders>
              <w:bottom w:val="nil"/>
            </w:tcBorders>
            <w:vAlign w:val="bottom"/>
          </w:tcPr>
          <w:p w:rsidR="00F621A1" w:rsidRPr="008C495B" w:rsidRDefault="00F621A1" w:rsidP="001340DA">
            <w:pPr>
              <w:jc w:val="right"/>
              <w:rPr>
                <w:b/>
                <w:color w:val="000000"/>
                <w:sz w:val="18"/>
                <w:szCs w:val="18"/>
              </w:rPr>
            </w:pPr>
            <w:r>
              <w:rPr>
                <w:b/>
                <w:color w:val="000000"/>
                <w:sz w:val="18"/>
                <w:szCs w:val="18"/>
              </w:rPr>
              <w:t>5.491</w:t>
            </w:r>
          </w:p>
        </w:tc>
        <w:tc>
          <w:tcPr>
            <w:tcW w:w="668" w:type="pct"/>
            <w:tcBorders>
              <w:bottom w:val="nil"/>
            </w:tcBorders>
            <w:vAlign w:val="bottom"/>
          </w:tcPr>
          <w:p w:rsidR="00F621A1" w:rsidRPr="003F148E" w:rsidRDefault="00F621A1" w:rsidP="001340DA">
            <w:pPr>
              <w:jc w:val="right"/>
              <w:rPr>
                <w:b/>
                <w:color w:val="000000"/>
                <w:sz w:val="18"/>
                <w:szCs w:val="18"/>
              </w:rPr>
            </w:pPr>
            <w:r w:rsidRPr="003F148E">
              <w:rPr>
                <w:b/>
                <w:color w:val="000000"/>
                <w:sz w:val="18"/>
                <w:szCs w:val="18"/>
              </w:rPr>
              <w:t>-21.071</w:t>
            </w:r>
          </w:p>
        </w:tc>
        <w:tc>
          <w:tcPr>
            <w:tcW w:w="690" w:type="pct"/>
            <w:tcBorders>
              <w:bottom w:val="nil"/>
            </w:tcBorders>
            <w:vAlign w:val="bottom"/>
          </w:tcPr>
          <w:p w:rsidR="00F621A1" w:rsidRPr="003F148E" w:rsidRDefault="00F621A1" w:rsidP="001340DA">
            <w:pPr>
              <w:jc w:val="right"/>
              <w:rPr>
                <w:b/>
                <w:color w:val="000000"/>
                <w:sz w:val="18"/>
                <w:szCs w:val="18"/>
              </w:rPr>
            </w:pPr>
            <w:r w:rsidRPr="003F148E">
              <w:rPr>
                <w:b/>
                <w:color w:val="000000"/>
                <w:sz w:val="18"/>
                <w:szCs w:val="18"/>
              </w:rPr>
              <w:t>-6.548</w:t>
            </w:r>
          </w:p>
        </w:tc>
      </w:tr>
      <w:tr w:rsidR="00F621A1" w:rsidRPr="008C495B" w:rsidTr="00F621A1">
        <w:trPr>
          <w:trHeight w:val="170"/>
          <w:jc w:val="center"/>
        </w:trPr>
        <w:tc>
          <w:tcPr>
            <w:tcW w:w="1679" w:type="pct"/>
            <w:tcBorders>
              <w:top w:val="nil"/>
              <w:bottom w:val="single" w:sz="4" w:space="0" w:color="auto"/>
            </w:tcBorders>
            <w:noWrap/>
            <w:vAlign w:val="bottom"/>
          </w:tcPr>
          <w:p w:rsidR="00F621A1" w:rsidRPr="008C495B" w:rsidRDefault="00F621A1" w:rsidP="001340DA">
            <w:pPr>
              <w:spacing w:line="280" w:lineRule="atLeast"/>
              <w:rPr>
                <w:rFonts w:eastAsia="MS Mincho"/>
                <w:b/>
                <w:sz w:val="18"/>
                <w:szCs w:val="18"/>
                <w:lang w:eastAsia="ja-JP"/>
              </w:rPr>
            </w:pPr>
            <w:r w:rsidRPr="008C495B">
              <w:rPr>
                <w:b/>
                <w:sz w:val="18"/>
                <w:szCs w:val="18"/>
              </w:rPr>
              <w:t>Net Kar</w:t>
            </w:r>
          </w:p>
        </w:tc>
        <w:tc>
          <w:tcPr>
            <w:tcW w:w="634" w:type="pct"/>
            <w:tcBorders>
              <w:top w:val="nil"/>
              <w:bottom w:val="single" w:sz="4" w:space="0" w:color="auto"/>
            </w:tcBorders>
            <w:vAlign w:val="bottom"/>
          </w:tcPr>
          <w:p w:rsidR="00F621A1" w:rsidRPr="008C495B" w:rsidRDefault="00F621A1" w:rsidP="001340DA">
            <w:pPr>
              <w:jc w:val="right"/>
              <w:rPr>
                <w:b/>
                <w:color w:val="000000"/>
                <w:sz w:val="18"/>
                <w:szCs w:val="18"/>
              </w:rPr>
            </w:pPr>
            <w:r w:rsidRPr="008C495B">
              <w:rPr>
                <w:b/>
                <w:color w:val="000000"/>
                <w:sz w:val="18"/>
                <w:szCs w:val="18"/>
              </w:rPr>
              <w:t>24.447</w:t>
            </w:r>
          </w:p>
        </w:tc>
        <w:tc>
          <w:tcPr>
            <w:tcW w:w="676" w:type="pct"/>
            <w:tcBorders>
              <w:top w:val="nil"/>
              <w:bottom w:val="single" w:sz="4" w:space="0" w:color="auto"/>
            </w:tcBorders>
            <w:vAlign w:val="bottom"/>
          </w:tcPr>
          <w:p w:rsidR="00F621A1" w:rsidRPr="008C495B" w:rsidRDefault="00F621A1" w:rsidP="001340DA">
            <w:pPr>
              <w:jc w:val="right"/>
              <w:rPr>
                <w:b/>
                <w:color w:val="000000"/>
                <w:sz w:val="18"/>
                <w:szCs w:val="18"/>
              </w:rPr>
            </w:pPr>
            <w:r w:rsidRPr="008C495B">
              <w:rPr>
                <w:b/>
                <w:color w:val="000000"/>
                <w:sz w:val="18"/>
                <w:szCs w:val="18"/>
              </w:rPr>
              <w:t>22.118</w:t>
            </w:r>
          </w:p>
        </w:tc>
        <w:tc>
          <w:tcPr>
            <w:tcW w:w="653" w:type="pct"/>
            <w:tcBorders>
              <w:top w:val="nil"/>
              <w:bottom w:val="single" w:sz="4" w:space="0" w:color="auto"/>
            </w:tcBorders>
            <w:vAlign w:val="bottom"/>
          </w:tcPr>
          <w:p w:rsidR="00F621A1" w:rsidRPr="008C495B" w:rsidRDefault="00F621A1" w:rsidP="001340DA">
            <w:pPr>
              <w:jc w:val="right"/>
              <w:rPr>
                <w:b/>
                <w:color w:val="000000"/>
                <w:sz w:val="18"/>
                <w:szCs w:val="18"/>
              </w:rPr>
            </w:pPr>
            <w:r>
              <w:rPr>
                <w:b/>
                <w:color w:val="000000"/>
                <w:sz w:val="18"/>
                <w:szCs w:val="18"/>
              </w:rPr>
              <w:t>16.504</w:t>
            </w:r>
          </w:p>
        </w:tc>
        <w:tc>
          <w:tcPr>
            <w:tcW w:w="668" w:type="pct"/>
            <w:tcBorders>
              <w:top w:val="nil"/>
              <w:bottom w:val="single" w:sz="4" w:space="0" w:color="auto"/>
            </w:tcBorders>
            <w:vAlign w:val="bottom"/>
          </w:tcPr>
          <w:p w:rsidR="00F621A1" w:rsidRPr="008C495B" w:rsidRDefault="00F621A1" w:rsidP="001340DA">
            <w:pPr>
              <w:jc w:val="right"/>
              <w:rPr>
                <w:b/>
                <w:color w:val="000000"/>
                <w:sz w:val="18"/>
                <w:szCs w:val="18"/>
              </w:rPr>
            </w:pPr>
            <w:r>
              <w:rPr>
                <w:b/>
                <w:color w:val="000000"/>
                <w:sz w:val="18"/>
                <w:szCs w:val="18"/>
              </w:rPr>
              <w:t>5.142</w:t>
            </w:r>
          </w:p>
        </w:tc>
        <w:tc>
          <w:tcPr>
            <w:tcW w:w="690" w:type="pct"/>
            <w:tcBorders>
              <w:top w:val="nil"/>
              <w:bottom w:val="single" w:sz="4" w:space="0" w:color="auto"/>
            </w:tcBorders>
            <w:vAlign w:val="bottom"/>
          </w:tcPr>
          <w:p w:rsidR="00F621A1" w:rsidRPr="008C495B" w:rsidRDefault="00F621A1" w:rsidP="001340DA">
            <w:pPr>
              <w:jc w:val="right"/>
              <w:rPr>
                <w:b/>
                <w:color w:val="000000"/>
                <w:sz w:val="18"/>
                <w:szCs w:val="18"/>
              </w:rPr>
            </w:pPr>
            <w:r>
              <w:rPr>
                <w:b/>
                <w:color w:val="000000"/>
                <w:sz w:val="18"/>
                <w:szCs w:val="18"/>
              </w:rPr>
              <w:t>6.323</w:t>
            </w:r>
          </w:p>
        </w:tc>
      </w:tr>
      <w:tr w:rsidR="00F621A1" w:rsidRPr="008C495B" w:rsidTr="00F621A1">
        <w:trPr>
          <w:trHeight w:val="284"/>
          <w:jc w:val="center"/>
        </w:trPr>
        <w:tc>
          <w:tcPr>
            <w:tcW w:w="1679" w:type="pct"/>
            <w:tcBorders>
              <w:top w:val="single" w:sz="4" w:space="0" w:color="auto"/>
            </w:tcBorders>
            <w:noWrap/>
            <w:vAlign w:val="center"/>
          </w:tcPr>
          <w:p w:rsidR="00F621A1" w:rsidRPr="00DB07C7" w:rsidRDefault="00F621A1" w:rsidP="001340DA">
            <w:pPr>
              <w:rPr>
                <w:color w:val="000000"/>
                <w:sz w:val="18"/>
                <w:szCs w:val="18"/>
              </w:rPr>
            </w:pPr>
            <w:r w:rsidRPr="00DB07C7">
              <w:rPr>
                <w:color w:val="000000"/>
                <w:sz w:val="18"/>
                <w:szCs w:val="18"/>
              </w:rPr>
              <w:t xml:space="preserve">ROAA (%) </w:t>
            </w:r>
          </w:p>
        </w:tc>
        <w:tc>
          <w:tcPr>
            <w:tcW w:w="634" w:type="pct"/>
            <w:tcBorders>
              <w:top w:val="single" w:sz="4" w:space="0" w:color="auto"/>
            </w:tcBorders>
            <w:vAlign w:val="center"/>
          </w:tcPr>
          <w:p w:rsidR="00F621A1" w:rsidRPr="00DB07C7" w:rsidRDefault="00F621A1" w:rsidP="001340DA">
            <w:pPr>
              <w:jc w:val="right"/>
              <w:rPr>
                <w:color w:val="000000"/>
                <w:sz w:val="18"/>
                <w:szCs w:val="18"/>
              </w:rPr>
            </w:pPr>
            <w:r>
              <w:rPr>
                <w:color w:val="000000"/>
                <w:sz w:val="18"/>
                <w:szCs w:val="18"/>
              </w:rPr>
              <w:t>3,5</w:t>
            </w:r>
          </w:p>
        </w:tc>
        <w:tc>
          <w:tcPr>
            <w:tcW w:w="676" w:type="pct"/>
            <w:tcBorders>
              <w:top w:val="single" w:sz="4" w:space="0" w:color="auto"/>
            </w:tcBorders>
            <w:vAlign w:val="center"/>
          </w:tcPr>
          <w:p w:rsidR="00F621A1" w:rsidRPr="00DB07C7" w:rsidRDefault="00F621A1" w:rsidP="001340DA">
            <w:pPr>
              <w:jc w:val="right"/>
              <w:rPr>
                <w:color w:val="000000"/>
                <w:sz w:val="18"/>
                <w:szCs w:val="18"/>
              </w:rPr>
            </w:pPr>
            <w:r>
              <w:rPr>
                <w:color w:val="000000"/>
                <w:sz w:val="18"/>
                <w:szCs w:val="18"/>
              </w:rPr>
              <w:t>2,1</w:t>
            </w:r>
          </w:p>
        </w:tc>
        <w:tc>
          <w:tcPr>
            <w:tcW w:w="653" w:type="pct"/>
            <w:tcBorders>
              <w:top w:val="single" w:sz="4" w:space="0" w:color="auto"/>
            </w:tcBorders>
            <w:vAlign w:val="center"/>
          </w:tcPr>
          <w:p w:rsidR="00F621A1" w:rsidRPr="00DB07C7" w:rsidRDefault="00F621A1" w:rsidP="001340DA">
            <w:pPr>
              <w:jc w:val="right"/>
              <w:rPr>
                <w:color w:val="000000"/>
                <w:sz w:val="18"/>
                <w:szCs w:val="18"/>
              </w:rPr>
            </w:pPr>
            <w:r>
              <w:rPr>
                <w:color w:val="000000"/>
                <w:sz w:val="18"/>
                <w:szCs w:val="18"/>
              </w:rPr>
              <w:t>1,0</w:t>
            </w:r>
          </w:p>
        </w:tc>
        <w:tc>
          <w:tcPr>
            <w:tcW w:w="668" w:type="pct"/>
            <w:tcBorders>
              <w:top w:val="single" w:sz="4" w:space="0" w:color="auto"/>
            </w:tcBorders>
            <w:vAlign w:val="center"/>
          </w:tcPr>
          <w:p w:rsidR="00F621A1" w:rsidRPr="00DB07C7" w:rsidRDefault="00F621A1" w:rsidP="001340DA">
            <w:pPr>
              <w:jc w:val="right"/>
              <w:rPr>
                <w:color w:val="000000"/>
                <w:sz w:val="18"/>
                <w:szCs w:val="18"/>
              </w:rPr>
            </w:pPr>
            <w:r>
              <w:rPr>
                <w:color w:val="000000"/>
                <w:sz w:val="18"/>
                <w:szCs w:val="18"/>
              </w:rPr>
              <w:t>0,3</w:t>
            </w:r>
          </w:p>
        </w:tc>
        <w:tc>
          <w:tcPr>
            <w:tcW w:w="690" w:type="pct"/>
            <w:tcBorders>
              <w:top w:val="single" w:sz="4" w:space="0" w:color="auto"/>
            </w:tcBorders>
            <w:vAlign w:val="center"/>
          </w:tcPr>
          <w:p w:rsidR="00F621A1" w:rsidRPr="00DB07C7" w:rsidRDefault="00F621A1" w:rsidP="001340DA">
            <w:pPr>
              <w:jc w:val="right"/>
              <w:rPr>
                <w:color w:val="000000"/>
                <w:sz w:val="18"/>
                <w:szCs w:val="18"/>
              </w:rPr>
            </w:pPr>
            <w:r>
              <w:rPr>
                <w:color w:val="000000"/>
                <w:sz w:val="18"/>
                <w:szCs w:val="18"/>
              </w:rPr>
              <w:t>0,3</w:t>
            </w:r>
          </w:p>
        </w:tc>
      </w:tr>
      <w:tr w:rsidR="00F621A1" w:rsidRPr="008C495B" w:rsidTr="00F621A1">
        <w:trPr>
          <w:trHeight w:val="284"/>
          <w:jc w:val="center"/>
        </w:trPr>
        <w:tc>
          <w:tcPr>
            <w:tcW w:w="1679" w:type="pct"/>
            <w:noWrap/>
            <w:vAlign w:val="center"/>
          </w:tcPr>
          <w:p w:rsidR="00F621A1" w:rsidRPr="00DB07C7" w:rsidRDefault="00F621A1" w:rsidP="001340DA">
            <w:pPr>
              <w:rPr>
                <w:color w:val="000000"/>
                <w:sz w:val="18"/>
                <w:szCs w:val="18"/>
              </w:rPr>
            </w:pPr>
            <w:r w:rsidRPr="00DB07C7">
              <w:rPr>
                <w:color w:val="000000"/>
                <w:sz w:val="18"/>
                <w:szCs w:val="18"/>
              </w:rPr>
              <w:t xml:space="preserve">ROAE (%) </w:t>
            </w:r>
          </w:p>
        </w:tc>
        <w:tc>
          <w:tcPr>
            <w:tcW w:w="634" w:type="pct"/>
            <w:vAlign w:val="center"/>
          </w:tcPr>
          <w:p w:rsidR="00F621A1" w:rsidRPr="00DB07C7" w:rsidRDefault="00F621A1" w:rsidP="001340DA">
            <w:pPr>
              <w:jc w:val="right"/>
              <w:rPr>
                <w:color w:val="000000"/>
                <w:sz w:val="18"/>
                <w:szCs w:val="18"/>
              </w:rPr>
            </w:pPr>
            <w:r>
              <w:rPr>
                <w:color w:val="000000"/>
                <w:sz w:val="18"/>
                <w:szCs w:val="18"/>
              </w:rPr>
              <w:t>30,4</w:t>
            </w:r>
          </w:p>
        </w:tc>
        <w:tc>
          <w:tcPr>
            <w:tcW w:w="676" w:type="pct"/>
            <w:vAlign w:val="center"/>
          </w:tcPr>
          <w:p w:rsidR="00F621A1" w:rsidRPr="00DB07C7" w:rsidRDefault="00F621A1" w:rsidP="001340DA">
            <w:pPr>
              <w:jc w:val="right"/>
              <w:rPr>
                <w:color w:val="000000"/>
                <w:sz w:val="18"/>
                <w:szCs w:val="18"/>
              </w:rPr>
            </w:pPr>
            <w:r>
              <w:rPr>
                <w:color w:val="000000"/>
                <w:sz w:val="18"/>
                <w:szCs w:val="18"/>
              </w:rPr>
              <w:t>25,1</w:t>
            </w:r>
          </w:p>
        </w:tc>
        <w:tc>
          <w:tcPr>
            <w:tcW w:w="653" w:type="pct"/>
            <w:vAlign w:val="center"/>
          </w:tcPr>
          <w:p w:rsidR="00F621A1" w:rsidRPr="00DB07C7" w:rsidRDefault="00F621A1" w:rsidP="001340DA">
            <w:pPr>
              <w:jc w:val="right"/>
              <w:rPr>
                <w:color w:val="000000"/>
                <w:sz w:val="18"/>
                <w:szCs w:val="18"/>
              </w:rPr>
            </w:pPr>
            <w:r>
              <w:rPr>
                <w:color w:val="000000"/>
                <w:sz w:val="18"/>
                <w:szCs w:val="18"/>
              </w:rPr>
              <w:t>9,0</w:t>
            </w:r>
          </w:p>
        </w:tc>
        <w:tc>
          <w:tcPr>
            <w:tcW w:w="668" w:type="pct"/>
            <w:vAlign w:val="center"/>
          </w:tcPr>
          <w:p w:rsidR="00F621A1" w:rsidRPr="00DB07C7" w:rsidRDefault="00F621A1" w:rsidP="001340DA">
            <w:pPr>
              <w:jc w:val="right"/>
              <w:rPr>
                <w:color w:val="000000"/>
                <w:sz w:val="18"/>
                <w:szCs w:val="18"/>
              </w:rPr>
            </w:pPr>
            <w:r>
              <w:rPr>
                <w:color w:val="000000"/>
                <w:sz w:val="18"/>
                <w:szCs w:val="18"/>
              </w:rPr>
              <w:t>1,9</w:t>
            </w:r>
          </w:p>
        </w:tc>
        <w:tc>
          <w:tcPr>
            <w:tcW w:w="690" w:type="pct"/>
            <w:vAlign w:val="center"/>
          </w:tcPr>
          <w:p w:rsidR="00F621A1" w:rsidRPr="00DB07C7" w:rsidRDefault="00F621A1" w:rsidP="001340DA">
            <w:pPr>
              <w:jc w:val="right"/>
              <w:rPr>
                <w:color w:val="000000"/>
                <w:sz w:val="18"/>
                <w:szCs w:val="18"/>
              </w:rPr>
            </w:pPr>
            <w:r>
              <w:rPr>
                <w:color w:val="000000"/>
                <w:sz w:val="18"/>
                <w:szCs w:val="18"/>
              </w:rPr>
              <w:t>2,3</w:t>
            </w:r>
          </w:p>
        </w:tc>
      </w:tr>
    </w:tbl>
    <w:p w:rsidR="00F621A1" w:rsidRPr="00A51B5B" w:rsidRDefault="00F621A1" w:rsidP="00F621A1">
      <w:pPr>
        <w:autoSpaceDE w:val="0"/>
        <w:autoSpaceDN w:val="0"/>
        <w:adjustRightInd w:val="0"/>
        <w:spacing w:line="120" w:lineRule="atLeast"/>
        <w:rPr>
          <w:b/>
          <w:bCs/>
          <w:sz w:val="18"/>
          <w:szCs w:val="18"/>
        </w:rPr>
      </w:pPr>
      <w:r>
        <w:rPr>
          <w:sz w:val="18"/>
          <w:szCs w:val="18"/>
        </w:rPr>
        <w:t>Net Finansal Kiralama Gelirleri*: Finansal Kiralama</w:t>
      </w:r>
      <w:r w:rsidRPr="00A51B5B">
        <w:rPr>
          <w:sz w:val="18"/>
          <w:szCs w:val="18"/>
        </w:rPr>
        <w:t xml:space="preserve"> Alacaklarından alınan faiz ve komisyon  – kullanılan kredilere ödenen faiz ve komisyon +/- kur farkları + türev işlem </w:t>
      </w:r>
      <w:r w:rsidRPr="00D565C5">
        <w:rPr>
          <w:sz w:val="18"/>
          <w:szCs w:val="18"/>
        </w:rPr>
        <w:t>kâr</w:t>
      </w:r>
      <w:r w:rsidRPr="00A51B5B">
        <w:rPr>
          <w:sz w:val="18"/>
          <w:szCs w:val="18"/>
        </w:rPr>
        <w:t>ı/zararı – TGA için ayrılan karşılıklar</w:t>
      </w:r>
    </w:p>
    <w:p w:rsidR="00F621A1" w:rsidRDefault="00F621A1" w:rsidP="00771A83">
      <w:pPr>
        <w:pStyle w:val="NormalWeb"/>
        <w:spacing w:before="0" w:beforeAutospacing="0" w:after="0" w:afterAutospacing="0" w:line="280" w:lineRule="atLeast"/>
        <w:jc w:val="both"/>
        <w:rPr>
          <w:sz w:val="21"/>
          <w:szCs w:val="21"/>
        </w:rPr>
      </w:pPr>
      <w:r>
        <w:rPr>
          <w:rFonts w:eastAsia="Times New Roman"/>
          <w:sz w:val="18"/>
          <w:szCs w:val="18"/>
          <w:lang w:eastAsia="tr-TR"/>
        </w:rPr>
        <w:t>Finansal Kiralama Faaliyet Kâ</w:t>
      </w:r>
      <w:r w:rsidRPr="00A51B5B">
        <w:rPr>
          <w:rFonts w:eastAsia="Times New Roman"/>
          <w:sz w:val="18"/>
          <w:szCs w:val="18"/>
          <w:lang w:eastAsia="tr-TR"/>
        </w:rPr>
        <w:t>rı/Zararı** : Net leasing gelirleri – Esas faaliyet giderleri</w:t>
      </w:r>
    </w:p>
    <w:sectPr w:rsidR="00F621A1" w:rsidSect="00F621A1">
      <w:footerReference w:type="default" r:id="rId1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50" w:rsidRDefault="00892850" w:rsidP="009D181D">
      <w:r>
        <w:separator/>
      </w:r>
    </w:p>
  </w:endnote>
  <w:endnote w:type="continuationSeparator" w:id="0">
    <w:p w:rsidR="00892850" w:rsidRDefault="00892850" w:rsidP="009D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3E" w:rsidRPr="004C603E" w:rsidRDefault="004C603E" w:rsidP="004C603E">
    <w:pPr>
      <w:pBdr>
        <w:top w:val="single" w:sz="4" w:space="1" w:color="auto"/>
      </w:pBdr>
      <w:spacing w:line="280" w:lineRule="atLeast"/>
      <w:rPr>
        <w:color w:val="000000" w:themeColor="text1"/>
        <w:sz w:val="18"/>
        <w:szCs w:val="18"/>
      </w:rPr>
    </w:pPr>
    <w:r w:rsidRPr="004C603E">
      <w:rPr>
        <w:color w:val="000000" w:themeColor="text1"/>
        <w:sz w:val="18"/>
        <w:szCs w:val="18"/>
      </w:rPr>
      <w:t>İstanbul Uluslararası Derecelendirme Hizmetleri A.Ş.</w:t>
    </w:r>
  </w:p>
  <w:p w:rsidR="00F621A1" w:rsidRDefault="00F621A1" w:rsidP="004C603E">
    <w:pPr>
      <w:pBdr>
        <w:top w:val="single" w:sz="4" w:space="1" w:color="auto"/>
      </w:pBdr>
      <w:spacing w:line="280" w:lineRule="atLeast"/>
      <w:rPr>
        <w:color w:val="000000" w:themeColor="text1"/>
        <w:sz w:val="18"/>
        <w:szCs w:val="18"/>
      </w:rPr>
    </w:pPr>
    <w:r>
      <w:rPr>
        <w:color w:val="000000" w:themeColor="text1"/>
        <w:sz w:val="18"/>
        <w:szCs w:val="18"/>
      </w:rPr>
      <w:t>Esentepe Mah. Büyükdere Cad. Müselles Sok. Onur İş Merkezi</w:t>
    </w:r>
  </w:p>
  <w:p w:rsidR="004C603E" w:rsidRDefault="00F621A1" w:rsidP="004C603E">
    <w:pPr>
      <w:pBdr>
        <w:top w:val="single" w:sz="4" w:space="1" w:color="auto"/>
      </w:pBdr>
      <w:spacing w:line="280" w:lineRule="atLeast"/>
      <w:rPr>
        <w:color w:val="000000" w:themeColor="text1"/>
        <w:sz w:val="18"/>
        <w:szCs w:val="18"/>
      </w:rPr>
    </w:pPr>
    <w:r>
      <w:rPr>
        <w:color w:val="000000" w:themeColor="text1"/>
        <w:sz w:val="18"/>
        <w:szCs w:val="18"/>
      </w:rPr>
      <w:t xml:space="preserve"> No.1/2 Şişli</w:t>
    </w:r>
    <w:r w:rsidR="004C603E" w:rsidRPr="004C603E">
      <w:rPr>
        <w:color w:val="000000" w:themeColor="text1"/>
        <w:sz w:val="18"/>
        <w:szCs w:val="18"/>
      </w:rPr>
      <w:t>, İstanbul</w:t>
    </w:r>
  </w:p>
  <w:p w:rsidR="00810FAF" w:rsidRPr="004C603E" w:rsidRDefault="00810FAF" w:rsidP="004C603E">
    <w:pPr>
      <w:pBdr>
        <w:top w:val="single" w:sz="4" w:space="1" w:color="auto"/>
      </w:pBdr>
      <w:spacing w:line="280" w:lineRule="atLeast"/>
      <w:rPr>
        <w:color w:val="000000" w:themeColor="text1"/>
        <w:sz w:val="18"/>
        <w:szCs w:val="18"/>
      </w:rPr>
    </w:pPr>
    <w:proofErr w:type="gramStart"/>
    <w:r>
      <w:rPr>
        <w:color w:val="000000" w:themeColor="text1"/>
        <w:sz w:val="18"/>
        <w:szCs w:val="18"/>
      </w:rPr>
      <w:t>Tel : 0212</w:t>
    </w:r>
    <w:proofErr w:type="gramEnd"/>
    <w:r>
      <w:rPr>
        <w:color w:val="000000" w:themeColor="text1"/>
        <w:sz w:val="18"/>
        <w:szCs w:val="18"/>
      </w:rPr>
      <w:t xml:space="preserve"> 272 01 44</w:t>
    </w:r>
  </w:p>
  <w:p w:rsidR="004C603E" w:rsidRPr="00CA6EA9" w:rsidRDefault="00892850" w:rsidP="004C603E">
    <w:pPr>
      <w:pStyle w:val="NormalWeb"/>
      <w:spacing w:before="0" w:beforeAutospacing="0" w:after="0" w:afterAutospacing="0" w:line="200" w:lineRule="atLeast"/>
      <w:rPr>
        <w:rFonts w:eastAsia="Times New Roman"/>
        <w:noProof/>
        <w:sz w:val="18"/>
        <w:szCs w:val="18"/>
        <w:lang w:eastAsia="en-US"/>
      </w:rPr>
    </w:pPr>
    <w:hyperlink r:id="rId1" w:history="1">
      <w:r w:rsidR="004C603E" w:rsidRPr="00CA6EA9">
        <w:rPr>
          <w:rStyle w:val="Kpr"/>
          <w:sz w:val="18"/>
          <w:szCs w:val="18"/>
        </w:rPr>
        <w:t>www.turkrating.com</w:t>
      </w:r>
    </w:hyperlink>
  </w:p>
  <w:p w:rsidR="004C603E" w:rsidRDefault="004C60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50" w:rsidRDefault="00892850" w:rsidP="009D181D">
      <w:r>
        <w:separator/>
      </w:r>
    </w:p>
  </w:footnote>
  <w:footnote w:type="continuationSeparator" w:id="0">
    <w:p w:rsidR="00892850" w:rsidRDefault="00892850" w:rsidP="009D1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2D30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DB79AF"/>
    <w:multiLevelType w:val="hybridMultilevel"/>
    <w:tmpl w:val="12EE9BD4"/>
    <w:lvl w:ilvl="0" w:tplc="041F0001">
      <w:start w:val="1"/>
      <w:numFmt w:val="bullet"/>
      <w:lvlText w:val=""/>
      <w:lvlJc w:val="left"/>
      <w:pPr>
        <w:ind w:left="705" w:hanging="705"/>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EB616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1D"/>
    <w:rsid w:val="000805CB"/>
    <w:rsid w:val="001D0648"/>
    <w:rsid w:val="002E58E2"/>
    <w:rsid w:val="00336040"/>
    <w:rsid w:val="00351178"/>
    <w:rsid w:val="00365A53"/>
    <w:rsid w:val="003663D4"/>
    <w:rsid w:val="00462C2B"/>
    <w:rsid w:val="004B32AE"/>
    <w:rsid w:val="004C603E"/>
    <w:rsid w:val="00593CEF"/>
    <w:rsid w:val="005A7AA7"/>
    <w:rsid w:val="005C3435"/>
    <w:rsid w:val="005E6577"/>
    <w:rsid w:val="005F678A"/>
    <w:rsid w:val="0069181F"/>
    <w:rsid w:val="006D0AF0"/>
    <w:rsid w:val="00706186"/>
    <w:rsid w:val="00745338"/>
    <w:rsid w:val="00771A83"/>
    <w:rsid w:val="00773BF7"/>
    <w:rsid w:val="00810FAF"/>
    <w:rsid w:val="008216E4"/>
    <w:rsid w:val="0082220E"/>
    <w:rsid w:val="0083236F"/>
    <w:rsid w:val="00833ABB"/>
    <w:rsid w:val="008436C7"/>
    <w:rsid w:val="00861447"/>
    <w:rsid w:val="008665D4"/>
    <w:rsid w:val="00885677"/>
    <w:rsid w:val="00892850"/>
    <w:rsid w:val="009259FC"/>
    <w:rsid w:val="009A664B"/>
    <w:rsid w:val="009D181D"/>
    <w:rsid w:val="00A2076F"/>
    <w:rsid w:val="00A860BF"/>
    <w:rsid w:val="00B3640E"/>
    <w:rsid w:val="00B41ACE"/>
    <w:rsid w:val="00BD4D7B"/>
    <w:rsid w:val="00C372CA"/>
    <w:rsid w:val="00CA4967"/>
    <w:rsid w:val="00D07EDC"/>
    <w:rsid w:val="00D57C62"/>
    <w:rsid w:val="00D83EBA"/>
    <w:rsid w:val="00D9691E"/>
    <w:rsid w:val="00DE6E66"/>
    <w:rsid w:val="00DF6D56"/>
    <w:rsid w:val="00E0391D"/>
    <w:rsid w:val="00E2336B"/>
    <w:rsid w:val="00E420F3"/>
    <w:rsid w:val="00F621A1"/>
    <w:rsid w:val="00F87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1D"/>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D0AF0"/>
    <w:pPr>
      <w:keepNext/>
      <w:spacing w:before="240" w:after="60"/>
      <w:outlineLvl w:val="3"/>
    </w:pPr>
    <w:rPr>
      <w:b/>
      <w:bCs/>
      <w:noProo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D181D"/>
    <w:rPr>
      <w:color w:val="0000FF"/>
      <w:u w:val="single"/>
    </w:rPr>
  </w:style>
  <w:style w:type="paragraph" w:styleId="ListeParagraf">
    <w:name w:val="List Paragraph"/>
    <w:basedOn w:val="Normal"/>
    <w:uiPriority w:val="99"/>
    <w:qFormat/>
    <w:rsid w:val="009D181D"/>
    <w:pPr>
      <w:ind w:left="720"/>
    </w:pPr>
  </w:style>
  <w:style w:type="paragraph" w:styleId="stbilgi">
    <w:name w:val="header"/>
    <w:basedOn w:val="Normal"/>
    <w:link w:val="stbilgiChar"/>
    <w:uiPriority w:val="99"/>
    <w:unhideWhenUsed/>
    <w:rsid w:val="009D181D"/>
    <w:pPr>
      <w:tabs>
        <w:tab w:val="center" w:pos="4536"/>
        <w:tab w:val="right" w:pos="9072"/>
      </w:tabs>
    </w:pPr>
  </w:style>
  <w:style w:type="character" w:customStyle="1" w:styleId="stbilgiChar">
    <w:name w:val="Üstbilgi Char"/>
    <w:basedOn w:val="VarsaylanParagrafYazTipi"/>
    <w:link w:val="stbilgi"/>
    <w:uiPriority w:val="99"/>
    <w:rsid w:val="009D18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D181D"/>
    <w:pPr>
      <w:tabs>
        <w:tab w:val="center" w:pos="4536"/>
        <w:tab w:val="right" w:pos="9072"/>
      </w:tabs>
    </w:pPr>
  </w:style>
  <w:style w:type="character" w:customStyle="1" w:styleId="AltbilgiChar">
    <w:name w:val="Altbilgi Char"/>
    <w:basedOn w:val="VarsaylanParagrafYazTipi"/>
    <w:link w:val="Altbilgi"/>
    <w:uiPriority w:val="99"/>
    <w:rsid w:val="009D181D"/>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9D181D"/>
    <w:pPr>
      <w:spacing w:after="0" w:line="240" w:lineRule="auto"/>
    </w:pPr>
    <w:rPr>
      <w:rFonts w:eastAsiaTheme="minorEastAsia"/>
    </w:rPr>
  </w:style>
  <w:style w:type="character" w:customStyle="1" w:styleId="AralkYokChar">
    <w:name w:val="Aralık Yok Char"/>
    <w:basedOn w:val="VarsaylanParagrafYazTipi"/>
    <w:link w:val="AralkYok"/>
    <w:uiPriority w:val="1"/>
    <w:rsid w:val="009D181D"/>
    <w:rPr>
      <w:rFonts w:eastAsiaTheme="minorEastAsia"/>
    </w:rPr>
  </w:style>
  <w:style w:type="paragraph" w:styleId="BalonMetni">
    <w:name w:val="Balloon Text"/>
    <w:basedOn w:val="Normal"/>
    <w:link w:val="BalonMetniChar"/>
    <w:uiPriority w:val="99"/>
    <w:semiHidden/>
    <w:unhideWhenUsed/>
    <w:rsid w:val="004C603E"/>
    <w:rPr>
      <w:rFonts w:ascii="Tahoma" w:hAnsi="Tahoma" w:cs="Tahoma"/>
      <w:sz w:val="16"/>
      <w:szCs w:val="16"/>
    </w:rPr>
  </w:style>
  <w:style w:type="character" w:customStyle="1" w:styleId="BalonMetniChar">
    <w:name w:val="Balon Metni Char"/>
    <w:basedOn w:val="VarsaylanParagrafYazTipi"/>
    <w:link w:val="BalonMetni"/>
    <w:uiPriority w:val="99"/>
    <w:semiHidden/>
    <w:rsid w:val="004C603E"/>
    <w:rPr>
      <w:rFonts w:ascii="Tahoma" w:eastAsia="Times New Roman" w:hAnsi="Tahoma" w:cs="Tahoma"/>
      <w:sz w:val="16"/>
      <w:szCs w:val="16"/>
      <w:lang w:eastAsia="tr-TR"/>
    </w:rPr>
  </w:style>
  <w:style w:type="paragraph" w:styleId="NormalWeb">
    <w:name w:val="Normal (Web)"/>
    <w:basedOn w:val="Normal"/>
    <w:rsid w:val="004C603E"/>
    <w:pPr>
      <w:spacing w:before="100" w:beforeAutospacing="1" w:after="100" w:afterAutospacing="1"/>
    </w:pPr>
    <w:rPr>
      <w:rFonts w:eastAsia="MS Mincho"/>
      <w:lang w:eastAsia="ja-JP"/>
    </w:rPr>
  </w:style>
  <w:style w:type="paragraph" w:styleId="ResimYazs">
    <w:name w:val="caption"/>
    <w:basedOn w:val="Normal"/>
    <w:next w:val="Normal"/>
    <w:autoRedefine/>
    <w:qFormat/>
    <w:rsid w:val="00706186"/>
    <w:pPr>
      <w:keepNext/>
      <w:jc w:val="center"/>
    </w:pPr>
    <w:rPr>
      <w:rFonts w:eastAsia="Calibri"/>
      <w:noProof/>
      <w:sz w:val="21"/>
      <w:szCs w:val="21"/>
      <w:lang w:eastAsia="en-US"/>
    </w:rPr>
  </w:style>
  <w:style w:type="character" w:styleId="AklamaBavurusu">
    <w:name w:val="annotation reference"/>
    <w:basedOn w:val="VarsaylanParagrafYazTipi"/>
    <w:uiPriority w:val="99"/>
    <w:semiHidden/>
    <w:unhideWhenUsed/>
    <w:rsid w:val="00365A53"/>
    <w:rPr>
      <w:sz w:val="16"/>
      <w:szCs w:val="16"/>
    </w:rPr>
  </w:style>
  <w:style w:type="paragraph" w:styleId="AklamaMetni">
    <w:name w:val="annotation text"/>
    <w:basedOn w:val="Normal"/>
    <w:link w:val="AklamaMetniChar"/>
    <w:uiPriority w:val="99"/>
    <w:semiHidden/>
    <w:unhideWhenUsed/>
    <w:rsid w:val="00365A53"/>
    <w:rPr>
      <w:sz w:val="20"/>
      <w:szCs w:val="20"/>
    </w:rPr>
  </w:style>
  <w:style w:type="character" w:customStyle="1" w:styleId="AklamaMetniChar">
    <w:name w:val="Açıklama Metni Char"/>
    <w:basedOn w:val="VarsaylanParagrafYazTipi"/>
    <w:link w:val="AklamaMetni"/>
    <w:uiPriority w:val="99"/>
    <w:semiHidden/>
    <w:rsid w:val="00365A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65A53"/>
    <w:rPr>
      <w:b/>
      <w:bCs/>
    </w:rPr>
  </w:style>
  <w:style w:type="character" w:customStyle="1" w:styleId="AklamaKonusuChar">
    <w:name w:val="Açıklama Konusu Char"/>
    <w:basedOn w:val="AklamaMetniChar"/>
    <w:link w:val="AklamaKonusu"/>
    <w:uiPriority w:val="99"/>
    <w:semiHidden/>
    <w:rsid w:val="00365A53"/>
    <w:rPr>
      <w:rFonts w:ascii="Times New Roman" w:eastAsia="Times New Roman" w:hAnsi="Times New Roman" w:cs="Times New Roman"/>
      <w:b/>
      <w:bCs/>
      <w:sz w:val="20"/>
      <w:szCs w:val="20"/>
      <w:lang w:eastAsia="tr-TR"/>
    </w:rPr>
  </w:style>
  <w:style w:type="character" w:customStyle="1" w:styleId="Balk4Char">
    <w:name w:val="Başlık 4 Char"/>
    <w:basedOn w:val="VarsaylanParagrafYazTipi"/>
    <w:link w:val="Balk4"/>
    <w:rsid w:val="006D0AF0"/>
    <w:rPr>
      <w:rFonts w:ascii="Times New Roman" w:eastAsia="Times New Roman" w:hAnsi="Times New Roman" w:cs="Times New Roman"/>
      <w:b/>
      <w:bCs/>
      <w:noProof/>
      <w:sz w:val="28"/>
      <w:szCs w:val="28"/>
    </w:rPr>
  </w:style>
  <w:style w:type="character" w:customStyle="1" w:styleId="yazilar1">
    <w:name w:val="yazilar1"/>
    <w:rsid w:val="00F621A1"/>
    <w:rPr>
      <w:rFonts w:ascii="Arial" w:hAnsi="Arial" w:cs="Arial" w:hint="default"/>
      <w:b w:val="0"/>
      <w:bCs w:val="0"/>
      <w:color w:val="737373"/>
      <w:sz w:val="17"/>
      <w:szCs w:val="17"/>
    </w:rPr>
  </w:style>
  <w:style w:type="character" w:customStyle="1" w:styleId="style11">
    <w:name w:val="style11"/>
    <w:rsid w:val="00F621A1"/>
    <w:rPr>
      <w:rFonts w:ascii="Arial" w:hAnsi="Arial" w:cs="Arial" w:hint="default"/>
      <w:color w:val="73737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1D"/>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D0AF0"/>
    <w:pPr>
      <w:keepNext/>
      <w:spacing w:before="240" w:after="60"/>
      <w:outlineLvl w:val="3"/>
    </w:pPr>
    <w:rPr>
      <w:b/>
      <w:bCs/>
      <w:noProo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D181D"/>
    <w:rPr>
      <w:color w:val="0000FF"/>
      <w:u w:val="single"/>
    </w:rPr>
  </w:style>
  <w:style w:type="paragraph" w:styleId="ListeParagraf">
    <w:name w:val="List Paragraph"/>
    <w:basedOn w:val="Normal"/>
    <w:uiPriority w:val="99"/>
    <w:qFormat/>
    <w:rsid w:val="009D181D"/>
    <w:pPr>
      <w:ind w:left="720"/>
    </w:pPr>
  </w:style>
  <w:style w:type="paragraph" w:styleId="stbilgi">
    <w:name w:val="header"/>
    <w:basedOn w:val="Normal"/>
    <w:link w:val="stbilgiChar"/>
    <w:uiPriority w:val="99"/>
    <w:unhideWhenUsed/>
    <w:rsid w:val="009D181D"/>
    <w:pPr>
      <w:tabs>
        <w:tab w:val="center" w:pos="4536"/>
        <w:tab w:val="right" w:pos="9072"/>
      </w:tabs>
    </w:pPr>
  </w:style>
  <w:style w:type="character" w:customStyle="1" w:styleId="stbilgiChar">
    <w:name w:val="Üstbilgi Char"/>
    <w:basedOn w:val="VarsaylanParagrafYazTipi"/>
    <w:link w:val="stbilgi"/>
    <w:uiPriority w:val="99"/>
    <w:rsid w:val="009D18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D181D"/>
    <w:pPr>
      <w:tabs>
        <w:tab w:val="center" w:pos="4536"/>
        <w:tab w:val="right" w:pos="9072"/>
      </w:tabs>
    </w:pPr>
  </w:style>
  <w:style w:type="character" w:customStyle="1" w:styleId="AltbilgiChar">
    <w:name w:val="Altbilgi Char"/>
    <w:basedOn w:val="VarsaylanParagrafYazTipi"/>
    <w:link w:val="Altbilgi"/>
    <w:uiPriority w:val="99"/>
    <w:rsid w:val="009D181D"/>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9D181D"/>
    <w:pPr>
      <w:spacing w:after="0" w:line="240" w:lineRule="auto"/>
    </w:pPr>
    <w:rPr>
      <w:rFonts w:eastAsiaTheme="minorEastAsia"/>
    </w:rPr>
  </w:style>
  <w:style w:type="character" w:customStyle="1" w:styleId="AralkYokChar">
    <w:name w:val="Aralık Yok Char"/>
    <w:basedOn w:val="VarsaylanParagrafYazTipi"/>
    <w:link w:val="AralkYok"/>
    <w:uiPriority w:val="1"/>
    <w:rsid w:val="009D181D"/>
    <w:rPr>
      <w:rFonts w:eastAsiaTheme="minorEastAsia"/>
    </w:rPr>
  </w:style>
  <w:style w:type="paragraph" w:styleId="BalonMetni">
    <w:name w:val="Balloon Text"/>
    <w:basedOn w:val="Normal"/>
    <w:link w:val="BalonMetniChar"/>
    <w:uiPriority w:val="99"/>
    <w:semiHidden/>
    <w:unhideWhenUsed/>
    <w:rsid w:val="004C603E"/>
    <w:rPr>
      <w:rFonts w:ascii="Tahoma" w:hAnsi="Tahoma" w:cs="Tahoma"/>
      <w:sz w:val="16"/>
      <w:szCs w:val="16"/>
    </w:rPr>
  </w:style>
  <w:style w:type="character" w:customStyle="1" w:styleId="BalonMetniChar">
    <w:name w:val="Balon Metni Char"/>
    <w:basedOn w:val="VarsaylanParagrafYazTipi"/>
    <w:link w:val="BalonMetni"/>
    <w:uiPriority w:val="99"/>
    <w:semiHidden/>
    <w:rsid w:val="004C603E"/>
    <w:rPr>
      <w:rFonts w:ascii="Tahoma" w:eastAsia="Times New Roman" w:hAnsi="Tahoma" w:cs="Tahoma"/>
      <w:sz w:val="16"/>
      <w:szCs w:val="16"/>
      <w:lang w:eastAsia="tr-TR"/>
    </w:rPr>
  </w:style>
  <w:style w:type="paragraph" w:styleId="NormalWeb">
    <w:name w:val="Normal (Web)"/>
    <w:basedOn w:val="Normal"/>
    <w:rsid w:val="004C603E"/>
    <w:pPr>
      <w:spacing w:before="100" w:beforeAutospacing="1" w:after="100" w:afterAutospacing="1"/>
    </w:pPr>
    <w:rPr>
      <w:rFonts w:eastAsia="MS Mincho"/>
      <w:lang w:eastAsia="ja-JP"/>
    </w:rPr>
  </w:style>
  <w:style w:type="paragraph" w:styleId="ResimYazs">
    <w:name w:val="caption"/>
    <w:basedOn w:val="Normal"/>
    <w:next w:val="Normal"/>
    <w:autoRedefine/>
    <w:qFormat/>
    <w:rsid w:val="00706186"/>
    <w:pPr>
      <w:keepNext/>
      <w:jc w:val="center"/>
    </w:pPr>
    <w:rPr>
      <w:rFonts w:eastAsia="Calibri"/>
      <w:noProof/>
      <w:sz w:val="21"/>
      <w:szCs w:val="21"/>
      <w:lang w:eastAsia="en-US"/>
    </w:rPr>
  </w:style>
  <w:style w:type="character" w:styleId="AklamaBavurusu">
    <w:name w:val="annotation reference"/>
    <w:basedOn w:val="VarsaylanParagrafYazTipi"/>
    <w:uiPriority w:val="99"/>
    <w:semiHidden/>
    <w:unhideWhenUsed/>
    <w:rsid w:val="00365A53"/>
    <w:rPr>
      <w:sz w:val="16"/>
      <w:szCs w:val="16"/>
    </w:rPr>
  </w:style>
  <w:style w:type="paragraph" w:styleId="AklamaMetni">
    <w:name w:val="annotation text"/>
    <w:basedOn w:val="Normal"/>
    <w:link w:val="AklamaMetniChar"/>
    <w:uiPriority w:val="99"/>
    <w:semiHidden/>
    <w:unhideWhenUsed/>
    <w:rsid w:val="00365A53"/>
    <w:rPr>
      <w:sz w:val="20"/>
      <w:szCs w:val="20"/>
    </w:rPr>
  </w:style>
  <w:style w:type="character" w:customStyle="1" w:styleId="AklamaMetniChar">
    <w:name w:val="Açıklama Metni Char"/>
    <w:basedOn w:val="VarsaylanParagrafYazTipi"/>
    <w:link w:val="AklamaMetni"/>
    <w:uiPriority w:val="99"/>
    <w:semiHidden/>
    <w:rsid w:val="00365A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65A53"/>
    <w:rPr>
      <w:b/>
      <w:bCs/>
    </w:rPr>
  </w:style>
  <w:style w:type="character" w:customStyle="1" w:styleId="AklamaKonusuChar">
    <w:name w:val="Açıklama Konusu Char"/>
    <w:basedOn w:val="AklamaMetniChar"/>
    <w:link w:val="AklamaKonusu"/>
    <w:uiPriority w:val="99"/>
    <w:semiHidden/>
    <w:rsid w:val="00365A53"/>
    <w:rPr>
      <w:rFonts w:ascii="Times New Roman" w:eastAsia="Times New Roman" w:hAnsi="Times New Roman" w:cs="Times New Roman"/>
      <w:b/>
      <w:bCs/>
      <w:sz w:val="20"/>
      <w:szCs w:val="20"/>
      <w:lang w:eastAsia="tr-TR"/>
    </w:rPr>
  </w:style>
  <w:style w:type="character" w:customStyle="1" w:styleId="Balk4Char">
    <w:name w:val="Başlık 4 Char"/>
    <w:basedOn w:val="VarsaylanParagrafYazTipi"/>
    <w:link w:val="Balk4"/>
    <w:rsid w:val="006D0AF0"/>
    <w:rPr>
      <w:rFonts w:ascii="Times New Roman" w:eastAsia="Times New Roman" w:hAnsi="Times New Roman" w:cs="Times New Roman"/>
      <w:b/>
      <w:bCs/>
      <w:noProof/>
      <w:sz w:val="28"/>
      <w:szCs w:val="28"/>
    </w:rPr>
  </w:style>
  <w:style w:type="character" w:customStyle="1" w:styleId="yazilar1">
    <w:name w:val="yazilar1"/>
    <w:rsid w:val="00F621A1"/>
    <w:rPr>
      <w:rFonts w:ascii="Arial" w:hAnsi="Arial" w:cs="Arial" w:hint="default"/>
      <w:b w:val="0"/>
      <w:bCs w:val="0"/>
      <w:color w:val="737373"/>
      <w:sz w:val="17"/>
      <w:szCs w:val="17"/>
    </w:rPr>
  </w:style>
  <w:style w:type="character" w:customStyle="1" w:styleId="style11">
    <w:name w:val="style11"/>
    <w:rsid w:val="00F621A1"/>
    <w:rPr>
      <w:rFonts w:ascii="Arial" w:hAnsi="Arial" w:cs="Arial" w:hint="default"/>
      <w:color w:val="73737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em@turkrating.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rkrating.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6B63-F8EF-4DF7-B2FB-6A263B04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HP</cp:lastModifiedBy>
  <cp:revision>4</cp:revision>
  <cp:lastPrinted>2016-06-06T13:08:00Z</cp:lastPrinted>
  <dcterms:created xsi:type="dcterms:W3CDTF">2016-06-06T13:04:00Z</dcterms:created>
  <dcterms:modified xsi:type="dcterms:W3CDTF">2016-06-06T13:08:00Z</dcterms:modified>
</cp:coreProperties>
</file>